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2C7BD82D"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8E47B4">
        <w:rPr>
          <w:rFonts w:eastAsia="Andale Sans UI" w:cstheme="minorHAnsi"/>
          <w:bCs/>
          <w:kern w:val="3"/>
          <w:lang w:val="en-US" w:bidi="en-US"/>
        </w:rPr>
        <w:t>7</w:t>
      </w:r>
      <w:r w:rsidR="008123F9">
        <w:rPr>
          <w:rFonts w:eastAsia="Andale Sans UI" w:cstheme="minorHAnsi"/>
          <w:bCs/>
          <w:kern w:val="3"/>
          <w:lang w:val="en-US" w:bidi="en-US"/>
        </w:rPr>
        <w:t>6</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410DA651"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1359CF">
        <w:rPr>
          <w:rFonts w:eastAsia="Andale Sans UI" w:cstheme="minorHAnsi"/>
          <w:bCs/>
          <w:kern w:val="3"/>
          <w:lang w:val="de-DE" w:eastAsia="hr-HR" w:bidi="en-US"/>
        </w:rPr>
        <w:t>1</w:t>
      </w:r>
      <w:r w:rsidR="00573D7E">
        <w:rPr>
          <w:rFonts w:eastAsia="Andale Sans UI" w:cstheme="minorHAnsi"/>
          <w:bCs/>
          <w:kern w:val="3"/>
          <w:lang w:val="de-DE" w:eastAsia="hr-HR" w:bidi="en-US"/>
        </w:rPr>
        <w:t>5</w:t>
      </w:r>
      <w:r w:rsidR="00432364">
        <w:rPr>
          <w:rFonts w:eastAsia="Andale Sans UI" w:cstheme="minorHAnsi"/>
          <w:bCs/>
          <w:kern w:val="3"/>
          <w:lang w:val="de-DE" w:eastAsia="hr-HR" w:bidi="en-US"/>
        </w:rPr>
        <w:t xml:space="preserve">. </w:t>
      </w:r>
      <w:proofErr w:type="spellStart"/>
      <w:r w:rsidR="00432364">
        <w:rPr>
          <w:rFonts w:eastAsia="Andale Sans UI" w:cstheme="minorHAnsi"/>
          <w:bCs/>
          <w:kern w:val="3"/>
          <w:lang w:val="de-DE" w:eastAsia="hr-HR" w:bidi="en-US"/>
        </w:rPr>
        <w:t>listopada</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F1828AA" w14:textId="461EBA40" w:rsidR="001359CF"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8123F9" w:rsidRPr="008123F9">
        <w:rPr>
          <w:rFonts w:asciiTheme="minorHAnsi" w:eastAsia="Andale Sans UI" w:hAnsiTheme="minorHAnsi" w:cstheme="minorHAnsi"/>
          <w:bCs/>
          <w:lang w:val="hr-HR"/>
        </w:rPr>
        <w:t>Održavanje dječjih igrališta u gradu Požegi i prigradskim naseljima 2024.-2025.</w:t>
      </w:r>
    </w:p>
    <w:p w14:paraId="04153562" w14:textId="347D0881" w:rsidR="001359CF" w:rsidRDefault="007D6820" w:rsidP="001359CF">
      <w:pPr>
        <w:pStyle w:val="Tijeloteksta6"/>
        <w:spacing w:after="0" w:line="240" w:lineRule="auto"/>
        <w:ind w:left="1843" w:right="-2" w:hanging="1559"/>
        <w:jc w:val="both"/>
        <w:rPr>
          <w:rFonts w:asciiTheme="minorHAnsi" w:eastAsia="Andale Sans UI" w:hAnsiTheme="minorHAnsi" w:cstheme="minorHAnsi"/>
          <w:sz w:val="22"/>
          <w:szCs w:val="22"/>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r w:rsidR="008123F9" w:rsidRPr="008123F9">
        <w:rPr>
          <w:rFonts w:asciiTheme="minorHAnsi" w:eastAsia="Andale Sans UI" w:hAnsiTheme="minorHAnsi" w:cstheme="minorHAnsi"/>
          <w:bCs/>
          <w:lang w:val="hr-HR"/>
        </w:rPr>
        <w:t>Održavanje dječjih igrališta u gradu Požegi i prigradskim naseljima 2024.-2025</w:t>
      </w:r>
      <w:proofErr w:type="gramStart"/>
      <w:r w:rsidR="008123F9" w:rsidRPr="008123F9">
        <w:rPr>
          <w:rFonts w:asciiTheme="minorHAnsi" w:eastAsia="Andale Sans UI" w:hAnsiTheme="minorHAnsi" w:cstheme="minorHAnsi"/>
          <w:bCs/>
          <w:lang w:val="hr-HR"/>
        </w:rPr>
        <w:t>.</w:t>
      </w:r>
      <w:r w:rsidR="008123F9">
        <w:rPr>
          <w:rFonts w:asciiTheme="minorHAnsi" w:eastAsia="Andale Sans UI" w:hAnsiTheme="minorHAnsi" w:cstheme="minorHAnsi"/>
          <w:bCs/>
          <w:lang w:val="hr-HR"/>
        </w:rPr>
        <w:t>;</w:t>
      </w:r>
      <w:proofErr w:type="gramEnd"/>
    </w:p>
    <w:p w14:paraId="2DD53A17" w14:textId="5E50236D" w:rsidR="007D6820" w:rsidRPr="001359CF" w:rsidRDefault="001359CF" w:rsidP="001359CF">
      <w:pPr>
        <w:pStyle w:val="Tijeloteksta6"/>
        <w:spacing w:after="0" w:line="240" w:lineRule="auto"/>
        <w:ind w:left="1843" w:right="-2" w:hanging="1559"/>
        <w:jc w:val="both"/>
        <w:rPr>
          <w:rFonts w:asciiTheme="minorHAnsi" w:eastAsia="Andale Sans UI" w:hAnsiTheme="minorHAnsi" w:cstheme="minorHAnsi"/>
          <w:sz w:val="22"/>
          <w:szCs w:val="22"/>
        </w:rPr>
      </w:pPr>
      <w:r>
        <w:rPr>
          <w:rFonts w:asciiTheme="minorHAnsi" w:hAnsiTheme="minorHAnsi" w:cstheme="minorHAnsi"/>
          <w:b/>
        </w:rPr>
        <w:t xml:space="preserve">                                            </w:t>
      </w:r>
      <w:proofErr w:type="spellStart"/>
      <w:r w:rsidR="00090F25" w:rsidRPr="008E47B4">
        <w:rPr>
          <w:rFonts w:asciiTheme="minorHAnsi" w:eastAsia="Andale Sans UI" w:hAnsiTheme="minorHAnsi" w:cstheme="minorHAnsi"/>
          <w:sz w:val="22"/>
          <w:szCs w:val="22"/>
        </w:rPr>
        <w:t>sukladno</w:t>
      </w:r>
      <w:proofErr w:type="spellEnd"/>
      <w:r w:rsidR="00090F25"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Troškovniku</w:t>
      </w:r>
      <w:proofErr w:type="spellEnd"/>
      <w:r w:rsidR="007D6820" w:rsidRPr="008E47B4">
        <w:rPr>
          <w:rFonts w:asciiTheme="minorHAnsi" w:eastAsia="Andale Sans UI" w:hAnsiTheme="minorHAnsi" w:cstheme="minorHAnsi"/>
        </w:rPr>
        <w:t>.</w:t>
      </w:r>
    </w:p>
    <w:p w14:paraId="1C92C3D1" w14:textId="1439CAE9"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8123F9" w:rsidRPr="008123F9">
        <w:rPr>
          <w:rFonts w:eastAsia="Andale Sans UI" w:cstheme="minorHAnsi"/>
          <w:kern w:val="3"/>
          <w:lang w:bidi="en-US"/>
        </w:rPr>
        <w:t>50870000-4, Usluge popravaka i održavanja opreme za dječja igrališta</w:t>
      </w:r>
      <w:r w:rsidRPr="00613A96">
        <w:rPr>
          <w:rFonts w:eastAsia="Andale Sans UI" w:cstheme="minorHAnsi"/>
          <w:kern w:val="3"/>
          <w:lang w:bidi="en-US"/>
        </w:rPr>
        <w:t>.</w:t>
      </w:r>
    </w:p>
    <w:p w14:paraId="15BAF4BB" w14:textId="3A736A1C" w:rsidR="00301672" w:rsidRPr="00C76BAF" w:rsidRDefault="00614377" w:rsidP="001359C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8123F9">
        <w:rPr>
          <w:rFonts w:eastAsia="Times New Roman" w:cstheme="minorHAnsi"/>
          <w:bCs/>
          <w:kern w:val="3"/>
          <w:lang w:bidi="en-US"/>
        </w:rPr>
        <w:t>18.000</w:t>
      </w:r>
      <w:r w:rsidR="001359CF">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8123F9">
        <w:rPr>
          <w:rFonts w:eastAsia="Times New Roman" w:cstheme="minorHAnsi"/>
          <w:bCs/>
          <w:kern w:val="3"/>
          <w:lang w:bidi="en-US"/>
        </w:rPr>
        <w:t>osamnaesttisućaeura</w:t>
      </w:r>
      <w:proofErr w:type="spellEnd"/>
      <w:r w:rsidRPr="0047541B">
        <w:rPr>
          <w:rFonts w:eastAsia="Times New Roman" w:cstheme="minorHAnsi"/>
          <w:bCs/>
          <w:kern w:val="3"/>
          <w:lang w:bidi="en-US"/>
        </w:rPr>
        <w:t>) bez</w:t>
      </w:r>
      <w:r w:rsidR="001359CF">
        <w:rPr>
          <w:rFonts w:eastAsia="Times New Roman" w:cstheme="minorHAnsi"/>
          <w:bCs/>
          <w:kern w:val="3"/>
          <w:lang w:bidi="en-US"/>
        </w:rPr>
        <w:t xml:space="preserve"> </w:t>
      </w:r>
      <w:r w:rsidRPr="0047541B">
        <w:rPr>
          <w:rFonts w:eastAsia="Times New Roman" w:cstheme="minorHAnsi"/>
          <w:bCs/>
          <w:kern w:val="3"/>
          <w:lang w:bidi="en-US"/>
        </w:rPr>
        <w:t xml:space="preserve">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297C2887"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8E47B4">
        <w:rPr>
          <w:rFonts w:eastAsia="Andale Sans UI" w:cstheme="minorHAnsi"/>
          <w:kern w:val="3"/>
          <w:lang w:bidi="en-US"/>
        </w:rPr>
        <w:t>7</w:t>
      </w:r>
      <w:r w:rsidR="008123F9">
        <w:rPr>
          <w:rFonts w:eastAsia="Andale Sans UI" w:cstheme="minorHAnsi"/>
          <w:kern w:val="3"/>
          <w:lang w:bidi="en-US"/>
        </w:rPr>
        <w:t>6</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61137EF2"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1359CF" w:rsidRPr="001359CF">
        <w:rPr>
          <w:rFonts w:eastAsia="Times New Roman" w:cstheme="minorHAnsi"/>
          <w:bCs/>
          <w:kern w:val="3"/>
          <w:lang w:bidi="en-US"/>
        </w:rPr>
        <w:t>12 mjeseci od dana obostranog potpisa Ugovora</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84CB5E"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1359CF" w:rsidRPr="001359CF">
        <w:rPr>
          <w:rFonts w:eastAsia="Times New Roman" w:cstheme="minorHAnsi"/>
          <w:kern w:val="3"/>
          <w:lang w:bidi="en-US"/>
        </w:rPr>
        <w:t>Grad Požega i prigradska naselja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06EAA40A" w14:textId="3D1C13B7" w:rsidR="00090F25" w:rsidRPr="001359CF" w:rsidRDefault="00090F25" w:rsidP="001359CF">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Troškovniku koji su sastavni d</w:t>
      </w:r>
      <w:r>
        <w:rPr>
          <w:rFonts w:eastAsia="Times New Roman" w:cstheme="minorHAnsi"/>
          <w:kern w:val="3"/>
          <w:lang w:bidi="en-US"/>
        </w:rPr>
        <w:t>io ovog</w:t>
      </w:r>
      <w:r w:rsidR="001359CF">
        <w:rPr>
          <w:rFonts w:eastAsia="Times New Roman" w:cstheme="minorHAnsi"/>
          <w:kern w:val="3"/>
          <w:lang w:bidi="en-US"/>
        </w:rPr>
        <w:t xml:space="preserve"> </w:t>
      </w:r>
      <w:r w:rsidR="005048ED" w:rsidRPr="001359CF">
        <w:rPr>
          <w:rFonts w:eastAsia="Times New Roman" w:cstheme="minorHAnsi"/>
          <w:kern w:val="3"/>
          <w:lang w:bidi="en-US"/>
        </w:rPr>
        <w:t xml:space="preserve">Poziva. </w:t>
      </w:r>
      <w:r w:rsidRPr="001359CF">
        <w:rPr>
          <w:rFonts w:eastAsia="Times New Roman" w:cstheme="minorHAnsi"/>
          <w:kern w:val="3"/>
          <w:lang w:bidi="en-US"/>
        </w:rPr>
        <w:t>Ponuditelj je dužan ponudit</w:t>
      </w:r>
      <w:r w:rsidR="005048ED" w:rsidRPr="001359CF">
        <w:rPr>
          <w:rFonts w:eastAsia="Times New Roman" w:cstheme="minorHAnsi"/>
          <w:kern w:val="3"/>
          <w:lang w:bidi="en-US"/>
        </w:rPr>
        <w:t xml:space="preserve">i i isporučiti predmetnu uslugu </w:t>
      </w:r>
      <w:r w:rsidRPr="001359CF">
        <w:rPr>
          <w:rFonts w:eastAsia="Times New Roman" w:cstheme="minorHAnsi"/>
          <w:kern w:val="3"/>
          <w:lang w:bidi="en-US"/>
        </w:rPr>
        <w:t>na način da ista odgovara svim uvjetima</w:t>
      </w:r>
      <w:r w:rsidR="005048ED" w:rsidRPr="001359CF">
        <w:rPr>
          <w:rFonts w:eastAsia="Times New Roman" w:cstheme="minorHAnsi"/>
          <w:kern w:val="3"/>
          <w:lang w:bidi="en-US"/>
        </w:rPr>
        <w:t xml:space="preserve"> </w:t>
      </w:r>
      <w:r w:rsidRPr="001359CF">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77D5B47F" w14:textId="77777777" w:rsidR="001359CF" w:rsidRPr="00090F25" w:rsidRDefault="001359CF"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090F25">
        <w:rPr>
          <w:rFonts w:eastAsia="Times New Roman" w:cstheme="minorHAnsi"/>
          <w:kern w:val="3"/>
          <w:lang w:bidi="en-US"/>
        </w:rPr>
        <w:t>.</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1A19A67"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1B91E330"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6BDB69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04FECF00"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4E6AF9E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1B060D4" w14:textId="2979FF7F" w:rsidR="00581D67" w:rsidRDefault="00581D67"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32DBDB87" w14:textId="77777777" w:rsidR="001359CF" w:rsidRPr="001359CF" w:rsidRDefault="001359CF"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A692F99" w14:textId="03FA40F5" w:rsidR="007636A8" w:rsidRPr="0047541B" w:rsidRDefault="001359CF"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42961F1D"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b/>
          <w:bCs/>
          <w:kern w:val="3"/>
          <w:u w:val="single"/>
          <w:lang w:bidi="en-US"/>
        </w:rPr>
      </w:pPr>
      <w:bookmarkStart w:id="5" w:name="bookmark6"/>
      <w:r w:rsidRPr="005C1223">
        <w:rPr>
          <w:rFonts w:eastAsia="Times New Roman" w:cstheme="minorHAnsi"/>
          <w:b/>
          <w:bCs/>
          <w:kern w:val="3"/>
          <w:u w:val="single"/>
          <w:lang w:bidi="en-US"/>
        </w:rPr>
        <w:t>JAMSTVO ZA OTKLANJANJE NEDOSTATAKA U JAMSTVENOM ROKU</w:t>
      </w:r>
    </w:p>
    <w:p w14:paraId="143484F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Naručitelj će tražiti od ugovaratelja dostavu jamstva za otklanjanje nedostataka u jamstvenom roku za sljedeće slučajeve:</w:t>
      </w:r>
    </w:p>
    <w:p w14:paraId="3DDD9AA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w:t>
      </w:r>
      <w:r w:rsidRPr="005C1223">
        <w:rPr>
          <w:rFonts w:eastAsia="Times New Roman" w:cstheme="minorHAnsi"/>
          <w:kern w:val="3"/>
          <w:lang w:bidi="en-US"/>
        </w:rPr>
        <w:tab/>
        <w:t xml:space="preserve">za slučaj da ugovaratelj u jamstvenom roku ne ispuni obveze otklanjanja  nedostataka koje ima </w:t>
      </w:r>
    </w:p>
    <w:p w14:paraId="79829E81"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 xml:space="preserve">             po osnovi jamstva ili </w:t>
      </w:r>
    </w:p>
    <w:p w14:paraId="2307B0A7"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w:t>
      </w:r>
      <w:r w:rsidRPr="005C1223">
        <w:rPr>
          <w:rFonts w:eastAsia="Times New Roman" w:cstheme="minorHAnsi"/>
          <w:kern w:val="3"/>
          <w:lang w:bidi="en-US"/>
        </w:rPr>
        <w:tab/>
        <w:t xml:space="preserve">s naslova naknade štete. </w:t>
      </w:r>
    </w:p>
    <w:p w14:paraId="7910BED2"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12757B6C"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400C9EE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Rok valjanosti jamstva bit će 2 (dvije) godine od dana uspješne primopredaje.</w:t>
      </w:r>
    </w:p>
    <w:p w14:paraId="4DBB67D7" w14:textId="045E6918"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ab/>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model 68; poziv na broj 7706 - OIB ponuditelja,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 </w:t>
      </w:r>
    </w:p>
    <w:p w14:paraId="6D1E0D42" w14:textId="298B8F3B" w:rsidR="001359CF"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ab/>
        <w:t>Nakon isteka jamstvenog roka, jamstvo za otklanjanje nedostataka u jamstvenom roku vraća se ugovaratelju.</w:t>
      </w: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7D433E33" w:rsidR="007D6820" w:rsidRPr="0047541B" w:rsidRDefault="005C1223"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6" w:name="bookmark7"/>
      <w:r w:rsidRPr="0047541B">
        <w:rPr>
          <w:rFonts w:eastAsia="Andale Sans UI" w:cstheme="minorHAnsi"/>
          <w:kern w:val="3"/>
          <w:lang w:bidi="en-US"/>
        </w:rPr>
        <w:t>Oblik i način izrade ponude</w:t>
      </w:r>
      <w:bookmarkEnd w:id="6"/>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7" w:name="bookmark8"/>
      <w:r w:rsidRPr="0047541B">
        <w:rPr>
          <w:rFonts w:eastAsia="Andale Sans UI" w:cstheme="minorHAnsi"/>
          <w:kern w:val="3"/>
          <w:lang w:bidi="en-US"/>
        </w:rPr>
        <w:t>Ponuda treba sadržavati:</w:t>
      </w:r>
      <w:bookmarkEnd w:id="7"/>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w:t>
      </w:r>
      <w:r w:rsidRPr="0047541B">
        <w:rPr>
          <w:rFonts w:eastAsia="Times New Roman" w:cstheme="minorHAnsi"/>
          <w:kern w:val="3"/>
          <w:lang w:bidi="en-US"/>
        </w:rPr>
        <w:lastRenderedPageBreak/>
        <w:t>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3341E38" w:rsidR="007D6820" w:rsidRPr="0047541B" w:rsidRDefault="005C1223"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8"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09820E60"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w:t>
      </w:r>
      <w:r w:rsidRPr="005C1223">
        <w:rPr>
          <w:rFonts w:cstheme="minorHAnsi"/>
        </w:rPr>
        <w:t xml:space="preserve">je </w:t>
      </w:r>
      <w:r w:rsidR="000F7CB9">
        <w:rPr>
          <w:rFonts w:cstheme="minorHAnsi"/>
          <w:b/>
          <w:i/>
          <w:u w:val="single"/>
        </w:rPr>
        <w:t>2</w:t>
      </w:r>
      <w:r w:rsidR="00FD22D9">
        <w:rPr>
          <w:rFonts w:cstheme="minorHAnsi"/>
          <w:b/>
          <w:i/>
          <w:u w:val="single"/>
        </w:rPr>
        <w:t>3</w:t>
      </w:r>
      <w:r w:rsidR="005C1223" w:rsidRPr="005C1223">
        <w:rPr>
          <w:rFonts w:cstheme="minorHAnsi"/>
          <w:b/>
          <w:i/>
          <w:u w:val="single"/>
        </w:rPr>
        <w:t>. listopada</w:t>
      </w:r>
      <w:r w:rsidR="00E2489B" w:rsidRPr="005C1223">
        <w:rPr>
          <w:rFonts w:cstheme="minorHAnsi"/>
          <w:b/>
          <w:i/>
          <w:u w:val="single"/>
        </w:rPr>
        <w:t xml:space="preserve"> 2024</w:t>
      </w:r>
      <w:r w:rsidR="003A55F8" w:rsidRPr="005C1223">
        <w:rPr>
          <w:rFonts w:cstheme="minorHAnsi"/>
          <w:b/>
          <w:i/>
          <w:u w:val="single"/>
        </w:rPr>
        <w:t xml:space="preserve">. godine do </w:t>
      </w:r>
      <w:r w:rsidR="005C1223" w:rsidRPr="005C1223">
        <w:rPr>
          <w:rFonts w:cstheme="minorHAnsi"/>
          <w:b/>
          <w:i/>
          <w:u w:val="single"/>
        </w:rPr>
        <w:t>1</w:t>
      </w:r>
      <w:r w:rsidR="004A6418">
        <w:rPr>
          <w:rFonts w:cstheme="minorHAnsi"/>
          <w:b/>
          <w:i/>
          <w:u w:val="single"/>
        </w:rPr>
        <w:t>4</w:t>
      </w:r>
      <w:r w:rsidRPr="005C1223">
        <w:rPr>
          <w:rFonts w:cstheme="minorHAnsi"/>
          <w:b/>
          <w:i/>
          <w:u w:val="single"/>
        </w:rPr>
        <w:t>:00 sati</w:t>
      </w:r>
      <w:r w:rsidRPr="005C122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9" w:name="_Hlk97290128"/>
    </w:p>
    <w:p w14:paraId="65C3D3AA" w14:textId="36E132DE" w:rsidR="00432364" w:rsidRPr="00432364" w:rsidRDefault="006A6142" w:rsidP="005C1223">
      <w:pPr>
        <w:widowControl w:val="0"/>
        <w:shd w:val="clear" w:color="auto" w:fill="FFFFFF"/>
        <w:suppressAutoHyphens/>
        <w:autoSpaceDN w:val="0"/>
        <w:spacing w:after="0" w:line="240" w:lineRule="auto"/>
        <w:ind w:left="708" w:right="260"/>
        <w:textAlignment w:val="baseline"/>
        <w:rPr>
          <w:rFonts w:eastAsia="Andale Sans UI" w:cstheme="minorHAnsi"/>
          <w:bCs/>
        </w:rPr>
      </w:pPr>
      <w:r w:rsidRPr="0047541B">
        <w:rPr>
          <w:rFonts w:eastAsia="Andale Sans UI" w:cstheme="minorHAnsi"/>
          <w:kern w:val="3"/>
          <w:lang w:bidi="en-US"/>
        </w:rPr>
        <w:t>“</w:t>
      </w:r>
      <w:bookmarkStart w:id="10" w:name="_Hlk179197877"/>
      <w:bookmarkStart w:id="11" w:name="_Hlk178592992"/>
      <w:bookmarkEnd w:id="9"/>
      <w:r w:rsidR="005C1223" w:rsidRPr="005C1223">
        <w:rPr>
          <w:rFonts w:eastAsia="Andale Sans UI" w:cstheme="minorHAnsi"/>
          <w:bCs/>
        </w:rPr>
        <w:t xml:space="preserve">ODRŽAVANJE </w:t>
      </w:r>
      <w:r w:rsidR="008123F9">
        <w:rPr>
          <w:rFonts w:eastAsia="Andale Sans UI" w:cstheme="minorHAnsi"/>
          <w:bCs/>
        </w:rPr>
        <w:t>DJEČJIH IGRALIŠTA</w:t>
      </w:r>
      <w:r w:rsidR="005C1223" w:rsidRPr="005C1223">
        <w:rPr>
          <w:rFonts w:eastAsia="Andale Sans UI" w:cstheme="minorHAnsi"/>
          <w:bCs/>
        </w:rPr>
        <w:t xml:space="preserve"> U GRADU POŽEGI I PRIGRADSKIM NASELJIMA 2024.-2025.</w:t>
      </w:r>
      <w:bookmarkEnd w:id="10"/>
      <w:r w:rsidR="00432364">
        <w:rPr>
          <w:rFonts w:eastAsia="Andale Sans UI" w:cstheme="minorHAnsi"/>
          <w:bCs/>
        </w:rPr>
        <w:t>“</w:t>
      </w:r>
    </w:p>
    <w:bookmarkEnd w:id="11"/>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3BF4388D"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276B26">
        <w:rPr>
          <w:rFonts w:eastAsia="Andale Sans UI" w:cstheme="minorHAnsi"/>
          <w:kern w:val="3"/>
          <w:lang w:bidi="en-US"/>
        </w:rPr>
        <w:t>7</w:t>
      </w:r>
      <w:r w:rsidR="008123F9">
        <w:rPr>
          <w:rFonts w:eastAsia="Andale Sans UI" w:cstheme="minorHAnsi"/>
          <w:kern w:val="3"/>
          <w:lang w:bidi="en-US"/>
        </w:rPr>
        <w:t>6</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53827FCF" w:rsidR="007D6820" w:rsidRPr="0047541B" w:rsidRDefault="005C1223"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6AE5AC0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2"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67EE1BE"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821022"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9263279"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5E138C" w14:textId="77777777" w:rsidR="008E47B4" w:rsidRDefault="008E47B4"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4BC906FD" w14:textId="77777777" w:rsidR="005C1223" w:rsidRDefault="005C1223"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148FD494"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8123F9" w:rsidRPr="008123F9">
        <w:rPr>
          <w:rFonts w:eastAsia="Calibri" w:cstheme="minorHAnsi"/>
          <w:bCs/>
        </w:rPr>
        <w:t>ODRŽAVANJE DJEČJIH IGRALIŠTA U GRADU POŽEGI I PRIGRADSKIM NASELJIMA 2024.-2025.</w:t>
      </w:r>
    </w:p>
    <w:p w14:paraId="65284E7D" w14:textId="04D12F7C"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2"/>
      <w:r w:rsidR="00432364">
        <w:rPr>
          <w:rFonts w:eastAsia="Times New Roman" w:cstheme="minorHAnsi"/>
          <w:bCs/>
          <w:kern w:val="3"/>
          <w:lang w:bidi="en-US"/>
        </w:rPr>
        <w:t xml:space="preserve"> </w:t>
      </w:r>
      <w:r w:rsidRPr="0047541B">
        <w:rPr>
          <w:rFonts w:eastAsia="Times New Roman" w:cstheme="minorHAnsi"/>
          <w:bCs/>
          <w:kern w:val="3"/>
          <w:lang w:bidi="en-US"/>
        </w:rPr>
        <w:t>JN-</w:t>
      </w:r>
      <w:r w:rsidR="008E47B4">
        <w:rPr>
          <w:rFonts w:eastAsia="Times New Roman" w:cstheme="minorHAnsi"/>
          <w:bCs/>
          <w:kern w:val="3"/>
          <w:lang w:bidi="en-US"/>
        </w:rPr>
        <w:t>7</w:t>
      </w:r>
      <w:r w:rsidR="008123F9">
        <w:rPr>
          <w:rFonts w:eastAsia="Times New Roman" w:cstheme="minorHAnsi"/>
          <w:bCs/>
          <w:kern w:val="3"/>
          <w:lang w:bidi="en-US"/>
        </w:rPr>
        <w:t>6</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3" w:name="bookmark11"/>
    </w:p>
    <w:bookmarkEnd w:id="13"/>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4"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4"/>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DBE8" w14:textId="77777777" w:rsidR="00704C2C" w:rsidRDefault="00704C2C" w:rsidP="0047541B">
      <w:pPr>
        <w:spacing w:after="0" w:line="240" w:lineRule="auto"/>
      </w:pPr>
      <w:r>
        <w:separator/>
      </w:r>
    </w:p>
  </w:endnote>
  <w:endnote w:type="continuationSeparator" w:id="0">
    <w:p w14:paraId="23373BB4" w14:textId="77777777" w:rsidR="00704C2C" w:rsidRDefault="00704C2C"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680C" w14:textId="77777777" w:rsidR="00704C2C" w:rsidRDefault="00704C2C" w:rsidP="0047541B">
      <w:pPr>
        <w:spacing w:after="0" w:line="240" w:lineRule="auto"/>
      </w:pPr>
      <w:r>
        <w:separator/>
      </w:r>
    </w:p>
  </w:footnote>
  <w:footnote w:type="continuationSeparator" w:id="0">
    <w:p w14:paraId="42901857" w14:textId="77777777" w:rsidR="00704C2C" w:rsidRDefault="00704C2C"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56585"/>
    <w:rsid w:val="00064B78"/>
    <w:rsid w:val="00082C6D"/>
    <w:rsid w:val="00084A6D"/>
    <w:rsid w:val="00086E46"/>
    <w:rsid w:val="00090C24"/>
    <w:rsid w:val="00090F25"/>
    <w:rsid w:val="000A0D87"/>
    <w:rsid w:val="000A7AFA"/>
    <w:rsid w:val="000B1D6E"/>
    <w:rsid w:val="000C29E5"/>
    <w:rsid w:val="000C3062"/>
    <w:rsid w:val="000C3FBE"/>
    <w:rsid w:val="000D2D2C"/>
    <w:rsid w:val="000D5A5E"/>
    <w:rsid w:val="000E179A"/>
    <w:rsid w:val="000F7CB9"/>
    <w:rsid w:val="00100C57"/>
    <w:rsid w:val="0010482A"/>
    <w:rsid w:val="001134BE"/>
    <w:rsid w:val="00121D72"/>
    <w:rsid w:val="00122F6D"/>
    <w:rsid w:val="00125F47"/>
    <w:rsid w:val="001356E8"/>
    <w:rsid w:val="001359CF"/>
    <w:rsid w:val="001366C7"/>
    <w:rsid w:val="00142BC4"/>
    <w:rsid w:val="00147CA9"/>
    <w:rsid w:val="00150A3B"/>
    <w:rsid w:val="0016515B"/>
    <w:rsid w:val="001679D3"/>
    <w:rsid w:val="00187DA7"/>
    <w:rsid w:val="0019763B"/>
    <w:rsid w:val="001A01AA"/>
    <w:rsid w:val="001B5778"/>
    <w:rsid w:val="001C7D41"/>
    <w:rsid w:val="001D089B"/>
    <w:rsid w:val="001E1032"/>
    <w:rsid w:val="001E4A89"/>
    <w:rsid w:val="001F255A"/>
    <w:rsid w:val="001F3CC7"/>
    <w:rsid w:val="001F44E4"/>
    <w:rsid w:val="00200257"/>
    <w:rsid w:val="00202F88"/>
    <w:rsid w:val="002031B2"/>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662C1"/>
    <w:rsid w:val="00270515"/>
    <w:rsid w:val="00276B26"/>
    <w:rsid w:val="00286CBA"/>
    <w:rsid w:val="002871BE"/>
    <w:rsid w:val="0029211A"/>
    <w:rsid w:val="002B0EB7"/>
    <w:rsid w:val="002B23E5"/>
    <w:rsid w:val="002D0DEE"/>
    <w:rsid w:val="002F226F"/>
    <w:rsid w:val="002F5346"/>
    <w:rsid w:val="00301672"/>
    <w:rsid w:val="0030639D"/>
    <w:rsid w:val="0030763E"/>
    <w:rsid w:val="00307DF9"/>
    <w:rsid w:val="003122A8"/>
    <w:rsid w:val="0031271C"/>
    <w:rsid w:val="0031444C"/>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B39B5"/>
    <w:rsid w:val="003B7549"/>
    <w:rsid w:val="003C37C7"/>
    <w:rsid w:val="003D66B3"/>
    <w:rsid w:val="003E1FBE"/>
    <w:rsid w:val="003E2870"/>
    <w:rsid w:val="003E2CD3"/>
    <w:rsid w:val="003F329B"/>
    <w:rsid w:val="003F5041"/>
    <w:rsid w:val="00412CD6"/>
    <w:rsid w:val="00421ECD"/>
    <w:rsid w:val="00432364"/>
    <w:rsid w:val="004606ED"/>
    <w:rsid w:val="00471E30"/>
    <w:rsid w:val="0047541B"/>
    <w:rsid w:val="00476CC6"/>
    <w:rsid w:val="00482D54"/>
    <w:rsid w:val="00494608"/>
    <w:rsid w:val="00497B6E"/>
    <w:rsid w:val="004A6418"/>
    <w:rsid w:val="004B7D6E"/>
    <w:rsid w:val="004C00A0"/>
    <w:rsid w:val="004C3FB5"/>
    <w:rsid w:val="004D1C06"/>
    <w:rsid w:val="004D472C"/>
    <w:rsid w:val="004D5DD4"/>
    <w:rsid w:val="005048ED"/>
    <w:rsid w:val="00514D67"/>
    <w:rsid w:val="00522975"/>
    <w:rsid w:val="00522A43"/>
    <w:rsid w:val="00527DDB"/>
    <w:rsid w:val="0054393B"/>
    <w:rsid w:val="00545BC2"/>
    <w:rsid w:val="0055008B"/>
    <w:rsid w:val="005514BF"/>
    <w:rsid w:val="00552D4C"/>
    <w:rsid w:val="00565865"/>
    <w:rsid w:val="005659D4"/>
    <w:rsid w:val="00570464"/>
    <w:rsid w:val="00573D7E"/>
    <w:rsid w:val="00575A5E"/>
    <w:rsid w:val="00581D67"/>
    <w:rsid w:val="005822B4"/>
    <w:rsid w:val="005826DD"/>
    <w:rsid w:val="005A186B"/>
    <w:rsid w:val="005A3E44"/>
    <w:rsid w:val="005B2E26"/>
    <w:rsid w:val="005C1223"/>
    <w:rsid w:val="005C2EA7"/>
    <w:rsid w:val="0060257A"/>
    <w:rsid w:val="006076CA"/>
    <w:rsid w:val="00613A96"/>
    <w:rsid w:val="00614377"/>
    <w:rsid w:val="006179FE"/>
    <w:rsid w:val="00622C93"/>
    <w:rsid w:val="00633C24"/>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4C2C"/>
    <w:rsid w:val="00705ADA"/>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23F9"/>
    <w:rsid w:val="008141CC"/>
    <w:rsid w:val="008172E5"/>
    <w:rsid w:val="0082140E"/>
    <w:rsid w:val="00844DB3"/>
    <w:rsid w:val="00851E77"/>
    <w:rsid w:val="00867A75"/>
    <w:rsid w:val="00867D53"/>
    <w:rsid w:val="008855C6"/>
    <w:rsid w:val="00893273"/>
    <w:rsid w:val="0089385B"/>
    <w:rsid w:val="008A25CD"/>
    <w:rsid w:val="008C0C5A"/>
    <w:rsid w:val="008E1069"/>
    <w:rsid w:val="008E47B4"/>
    <w:rsid w:val="008F0401"/>
    <w:rsid w:val="008F1DB7"/>
    <w:rsid w:val="008F6252"/>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16C9D"/>
    <w:rsid w:val="00A2461C"/>
    <w:rsid w:val="00A340D5"/>
    <w:rsid w:val="00A4291D"/>
    <w:rsid w:val="00A47B3F"/>
    <w:rsid w:val="00A8166D"/>
    <w:rsid w:val="00A825D3"/>
    <w:rsid w:val="00A829E9"/>
    <w:rsid w:val="00AA1339"/>
    <w:rsid w:val="00AA2080"/>
    <w:rsid w:val="00AB74AC"/>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351B9"/>
    <w:rsid w:val="00C42846"/>
    <w:rsid w:val="00C4325B"/>
    <w:rsid w:val="00C438EF"/>
    <w:rsid w:val="00C528D6"/>
    <w:rsid w:val="00C573FA"/>
    <w:rsid w:val="00C71390"/>
    <w:rsid w:val="00C7321B"/>
    <w:rsid w:val="00C76BAF"/>
    <w:rsid w:val="00C855DF"/>
    <w:rsid w:val="00C910C6"/>
    <w:rsid w:val="00C93BBE"/>
    <w:rsid w:val="00C9468D"/>
    <w:rsid w:val="00CA3356"/>
    <w:rsid w:val="00CB03FC"/>
    <w:rsid w:val="00CB136E"/>
    <w:rsid w:val="00CC482B"/>
    <w:rsid w:val="00CD0003"/>
    <w:rsid w:val="00CD649A"/>
    <w:rsid w:val="00CF031C"/>
    <w:rsid w:val="00CF1500"/>
    <w:rsid w:val="00CF38B9"/>
    <w:rsid w:val="00CF6396"/>
    <w:rsid w:val="00D00BF5"/>
    <w:rsid w:val="00D05A12"/>
    <w:rsid w:val="00D101EA"/>
    <w:rsid w:val="00D10C2D"/>
    <w:rsid w:val="00D20D32"/>
    <w:rsid w:val="00D21630"/>
    <w:rsid w:val="00D37026"/>
    <w:rsid w:val="00D44475"/>
    <w:rsid w:val="00D523E2"/>
    <w:rsid w:val="00D61FAB"/>
    <w:rsid w:val="00D65208"/>
    <w:rsid w:val="00D77079"/>
    <w:rsid w:val="00D80303"/>
    <w:rsid w:val="00D809D4"/>
    <w:rsid w:val="00D82D33"/>
    <w:rsid w:val="00D843BE"/>
    <w:rsid w:val="00D93291"/>
    <w:rsid w:val="00DA27A4"/>
    <w:rsid w:val="00DA4BAE"/>
    <w:rsid w:val="00DA6518"/>
    <w:rsid w:val="00DB3F7E"/>
    <w:rsid w:val="00DC1BF7"/>
    <w:rsid w:val="00DC63C6"/>
    <w:rsid w:val="00DC7591"/>
    <w:rsid w:val="00DD5AB5"/>
    <w:rsid w:val="00DE4CE1"/>
    <w:rsid w:val="00E017E8"/>
    <w:rsid w:val="00E021E8"/>
    <w:rsid w:val="00E2489B"/>
    <w:rsid w:val="00E32697"/>
    <w:rsid w:val="00E44BAA"/>
    <w:rsid w:val="00E50CA9"/>
    <w:rsid w:val="00E53B3B"/>
    <w:rsid w:val="00E55279"/>
    <w:rsid w:val="00E55BC2"/>
    <w:rsid w:val="00E81819"/>
    <w:rsid w:val="00E85EBB"/>
    <w:rsid w:val="00E96125"/>
    <w:rsid w:val="00EB2683"/>
    <w:rsid w:val="00EB2F3D"/>
    <w:rsid w:val="00EB7767"/>
    <w:rsid w:val="00EC35F4"/>
    <w:rsid w:val="00EC50B2"/>
    <w:rsid w:val="00ED1CBE"/>
    <w:rsid w:val="00ED38A7"/>
    <w:rsid w:val="00ED38B5"/>
    <w:rsid w:val="00EE4633"/>
    <w:rsid w:val="00EF1C4E"/>
    <w:rsid w:val="00F12249"/>
    <w:rsid w:val="00F15134"/>
    <w:rsid w:val="00F357FC"/>
    <w:rsid w:val="00F35E8A"/>
    <w:rsid w:val="00F45172"/>
    <w:rsid w:val="00F661D9"/>
    <w:rsid w:val="00F67CFA"/>
    <w:rsid w:val="00F835BE"/>
    <w:rsid w:val="00F87036"/>
    <w:rsid w:val="00F94838"/>
    <w:rsid w:val="00F96F0C"/>
    <w:rsid w:val="00FA3A5E"/>
    <w:rsid w:val="00FA400F"/>
    <w:rsid w:val="00FA4EC9"/>
    <w:rsid w:val="00FB7855"/>
    <w:rsid w:val="00FC464B"/>
    <w:rsid w:val="00FD22D9"/>
    <w:rsid w:val="00FD3BE1"/>
    <w:rsid w:val="00FE2400"/>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3827</Words>
  <Characters>21820</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37</cp:revision>
  <cp:lastPrinted>2023-10-06T06:26:00Z</cp:lastPrinted>
  <dcterms:created xsi:type="dcterms:W3CDTF">2023-11-17T11:39:00Z</dcterms:created>
  <dcterms:modified xsi:type="dcterms:W3CDTF">2024-10-15T07:19:00Z</dcterms:modified>
</cp:coreProperties>
</file>