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4654" w14:textId="455A7BFE" w:rsidR="0024262B" w:rsidRPr="0024262B" w:rsidRDefault="0024262B" w:rsidP="0024262B">
      <w:pPr>
        <w:ind w:right="4961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2A798800" wp14:editId="13632C7D">
            <wp:extent cx="314325" cy="428625"/>
            <wp:effectExtent l="0" t="0" r="9525" b="9525"/>
            <wp:docPr id="7" name="Picture 2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EB8B" w14:textId="77777777" w:rsidR="0024262B" w:rsidRPr="0024262B" w:rsidRDefault="0024262B" w:rsidP="0024262B">
      <w:pPr>
        <w:ind w:right="4961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  E  P  U  B  L  I  K  A      H  R  V  A  T  S  K  A</w:t>
      </w:r>
    </w:p>
    <w:p w14:paraId="6D5703F7" w14:textId="6F12249B" w:rsidR="0024262B" w:rsidRPr="0024262B" w:rsidRDefault="0024262B" w:rsidP="0024262B">
      <w:pPr>
        <w:ind w:right="4961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POŽEŠKO-SLAVONSKA ŽUPANIJA</w:t>
      </w:r>
    </w:p>
    <w:p w14:paraId="3E401E15" w14:textId="14FAAF8C" w:rsidR="0024262B" w:rsidRPr="0024262B" w:rsidRDefault="0024262B" w:rsidP="0024262B">
      <w:pPr>
        <w:ind w:right="4961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0" distR="0" simplePos="0" relativeHeight="251659264" behindDoc="0" locked="0" layoutInCell="1" allowOverlap="1" wp14:anchorId="5EAE6BA2" wp14:editId="646416D7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 descr="Slika na kojoj se prikazuje crtež, skeč, ukrasni isječci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 descr="Slika na kojoj se prikazuje crtež, skeč, ukrasni isječci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GRAD  POŽEGA</w:t>
      </w:r>
    </w:p>
    <w:p w14:paraId="3CCECF24" w14:textId="329EF9C8" w:rsidR="0024262B" w:rsidRPr="0024262B" w:rsidRDefault="0024262B" w:rsidP="0024262B">
      <w:pPr>
        <w:ind w:right="4961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 R A D O N A Č E L N I K</w:t>
      </w:r>
    </w:p>
    <w:p w14:paraId="64ED64CE" w14:textId="0672DF80" w:rsidR="0024262B" w:rsidRPr="0024262B" w:rsidRDefault="0024262B" w:rsidP="0024262B">
      <w:pPr>
        <w:ind w:right="7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2410CAE" w14:textId="77777777" w:rsidR="0024262B" w:rsidRPr="0024262B" w:rsidRDefault="0024262B" w:rsidP="0024262B">
      <w:pPr>
        <w:ind w:right="72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KLASA: 024-04/23-01/3</w:t>
      </w:r>
    </w:p>
    <w:p w14:paraId="14901A86" w14:textId="77777777" w:rsidR="0024262B" w:rsidRPr="0024262B" w:rsidRDefault="0024262B" w:rsidP="0024262B">
      <w:pPr>
        <w:ind w:right="349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URBROJ: 2177-1-01/01-23-16</w:t>
      </w:r>
    </w:p>
    <w:p w14:paraId="775639B5" w14:textId="702D56D6" w:rsidR="0024262B" w:rsidRPr="0024262B" w:rsidRDefault="0024262B" w:rsidP="0024262B">
      <w:pPr>
        <w:ind w:right="349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Požega, 11. prosinca 2023.</w:t>
      </w:r>
    </w:p>
    <w:p w14:paraId="41F0B9FB" w14:textId="5FA1EC0C" w:rsidR="0024262B" w:rsidRPr="0024262B" w:rsidRDefault="0024262B" w:rsidP="0024262B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1ED9979" w14:textId="77777777" w:rsidR="0024262B" w:rsidRPr="0024262B" w:rsidRDefault="0024262B" w:rsidP="0024262B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3256D48" w14:textId="601F58F6" w:rsidR="0024262B" w:rsidRPr="0024262B" w:rsidRDefault="0024262B" w:rsidP="0024262B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Na temelju članka 60. Zakona o proračunu  (Narodne novine, broj:</w:t>
      </w: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144/21.), članka 12.  </w:t>
      </w: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Odluke o izvršavanju Proračuna Grada Požege </w:t>
      </w: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(Službene novine Grada Požege, broj: 27/22. i 13/23.) te članka 62.  stavka  1. alineje 7. i  članka 120. Statuta Grada Požege (Službene novine Grada Požege, broj 2/21. i 11/22.), Gradonačelnik Grada Požege, dana 11. prosinca 2023. godine, donosi</w:t>
      </w:r>
    </w:p>
    <w:p w14:paraId="700DDFDF" w14:textId="77777777" w:rsidR="0024262B" w:rsidRPr="0024262B" w:rsidRDefault="0024262B" w:rsidP="0024262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F5267C5" w14:textId="23CBC6E5" w:rsidR="0024262B" w:rsidRPr="0024262B" w:rsidRDefault="0024262B" w:rsidP="002426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63D0D9" w14:textId="77777777" w:rsidR="0024262B" w:rsidRPr="0024262B" w:rsidRDefault="0024262B" w:rsidP="0024262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O D L U K U</w:t>
      </w:r>
    </w:p>
    <w:p w14:paraId="4B4FFE55" w14:textId="5B9A08EB" w:rsidR="0024262B" w:rsidRPr="0024262B" w:rsidRDefault="0024262B" w:rsidP="0024262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četvrtoj preraspodjeli sredstava na proračunskim stavkama </w:t>
      </w: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  Proračunu Grada Požege za 2023. godinu</w:t>
      </w:r>
    </w:p>
    <w:p w14:paraId="709C6111" w14:textId="77777777" w:rsidR="0024262B" w:rsidRPr="0024262B" w:rsidRDefault="0024262B" w:rsidP="0024262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44BF57" w14:textId="3F551562" w:rsidR="0024262B" w:rsidRPr="0024262B" w:rsidRDefault="0024262B" w:rsidP="0024262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I.</w:t>
      </w:r>
    </w:p>
    <w:p w14:paraId="7A6D3150" w14:textId="77777777" w:rsidR="0024262B" w:rsidRPr="0024262B" w:rsidRDefault="0024262B" w:rsidP="0024262B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A09B98E" w14:textId="77777777" w:rsidR="0024262B" w:rsidRPr="0024262B" w:rsidRDefault="0024262B" w:rsidP="0024262B">
      <w:pPr>
        <w:ind w:firstLine="720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Ovom Odlukom odobrava se preraspodjela sredstava u Proračunu Grada Požege za 2023. godinu </w:t>
      </w:r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(Službene novine Grada Požege, broj:</w:t>
      </w: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Hlk518885022"/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27/22</w:t>
      </w:r>
      <w:r w:rsidRPr="002426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., 5/23. i 13/23.</w:t>
      </w: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bookmarkEnd w:id="0"/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 xml:space="preserve"> kako slijedi:</w:t>
      </w:r>
    </w:p>
    <w:p w14:paraId="5F3E52A5" w14:textId="77777777" w:rsidR="0024262B" w:rsidRPr="0024262B" w:rsidRDefault="0024262B" w:rsidP="0024262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bookmarkStart w:id="1" w:name="_Hlk79562655"/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88"/>
        <w:gridCol w:w="1749"/>
        <w:gridCol w:w="1613"/>
        <w:gridCol w:w="1583"/>
        <w:gridCol w:w="1606"/>
        <w:gridCol w:w="1406"/>
      </w:tblGrid>
      <w:tr w:rsidR="0024262B" w:rsidRPr="0024262B" w14:paraId="071DF0AC" w14:textId="77777777" w:rsidTr="00D04A21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74F571DC" w14:textId="77777777" w:rsidR="0024262B" w:rsidRPr="0024262B" w:rsidRDefault="0024262B" w:rsidP="00D04A21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24262B" w:rsidRPr="0024262B" w14:paraId="6FFE0696" w14:textId="77777777" w:rsidTr="00D04A21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22A6B1C1" w14:textId="77777777" w:rsidR="0024262B" w:rsidRPr="0024262B" w:rsidRDefault="0024262B" w:rsidP="00D04A2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Glava 00301 UPRAVNI ODJEL ZA KOMUNALNU DJELATNOST I GOSPODARANJE</w:t>
            </w:r>
          </w:p>
        </w:tc>
      </w:tr>
      <w:tr w:rsidR="0024262B" w:rsidRPr="0024262B" w14:paraId="2CF95292" w14:textId="77777777" w:rsidTr="00D04A21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F4FA1A6" w14:textId="77777777" w:rsidR="0024262B" w:rsidRPr="0024262B" w:rsidRDefault="0024262B" w:rsidP="00D04A21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Izvor 1.0 OPĆI PRIHODI I PRIMICI</w:t>
            </w:r>
          </w:p>
        </w:tc>
      </w:tr>
      <w:tr w:rsidR="0024262B" w:rsidRPr="0024262B" w14:paraId="49051574" w14:textId="77777777" w:rsidTr="00D04A21">
        <w:trPr>
          <w:trHeight w:val="391"/>
          <w:jc w:val="center"/>
        </w:trPr>
        <w:tc>
          <w:tcPr>
            <w:tcW w:w="1688" w:type="dxa"/>
            <w:tcBorders>
              <w:top w:val="single" w:sz="4" w:space="0" w:color="auto"/>
            </w:tcBorders>
          </w:tcPr>
          <w:p w14:paraId="73E168DA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2" w:name="_Hlk139953490"/>
          </w:p>
          <w:p w14:paraId="29806DC8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Aktivnost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noWrap/>
            <w:vAlign w:val="center"/>
          </w:tcPr>
          <w:p w14:paraId="3F004B6D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095A702A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 za</w:t>
            </w:r>
          </w:p>
          <w:p w14:paraId="6D8DAD62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2023./€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6F41764B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Umanjenje</w:t>
            </w:r>
          </w:p>
          <w:p w14:paraId="3D641874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/€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440AE1B2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Povećanje</w:t>
            </w:r>
          </w:p>
          <w:p w14:paraId="70815569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/€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2CB67EA1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Novi plan za </w:t>
            </w:r>
          </w:p>
          <w:p w14:paraId="7024A61A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2023./€</w:t>
            </w:r>
          </w:p>
        </w:tc>
      </w:tr>
      <w:bookmarkEnd w:id="2"/>
      <w:tr w:rsidR="0024262B" w:rsidRPr="0024262B" w14:paraId="300CF646" w14:textId="77777777" w:rsidTr="00D04A21">
        <w:trPr>
          <w:trHeight w:val="34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6314CD18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PROGRAM 1500 KAPITALNA ULAGANJA U KOMUNALNU INFRASTRUKTURU</w:t>
            </w:r>
          </w:p>
        </w:tc>
      </w:tr>
      <w:tr w:rsidR="0024262B" w:rsidRPr="0024262B" w14:paraId="63F23923" w14:textId="77777777" w:rsidTr="00D04A21">
        <w:trPr>
          <w:trHeight w:val="682"/>
          <w:jc w:val="center"/>
        </w:trPr>
        <w:tc>
          <w:tcPr>
            <w:tcW w:w="1688" w:type="dxa"/>
            <w:tcBorders>
              <w:top w:val="single" w:sz="4" w:space="0" w:color="auto"/>
            </w:tcBorders>
          </w:tcPr>
          <w:p w14:paraId="7C50AC20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K150017 Aglomeracija Požega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noWrap/>
            <w:vAlign w:val="center"/>
          </w:tcPr>
          <w:p w14:paraId="3DE83984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386 Kapitalne pomoći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10F35A64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152.000,00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62DF7535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31A06C03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25C8F4C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151.500,00</w:t>
            </w:r>
          </w:p>
        </w:tc>
      </w:tr>
      <w:tr w:rsidR="0024262B" w:rsidRPr="0024262B" w14:paraId="7979595A" w14:textId="77777777" w:rsidTr="00D04A21">
        <w:trPr>
          <w:trHeight w:val="27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EE85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PROGRAM 2305 OSIGURANJE POMOĆNIKA U NASTAVI ZA OSOBE S POTEŠKOĆAMA U RAZVOJU</w:t>
            </w:r>
          </w:p>
        </w:tc>
      </w:tr>
      <w:tr w:rsidR="0024262B" w:rsidRPr="0024262B" w14:paraId="6EB1204B" w14:textId="77777777" w:rsidTr="00D04A21">
        <w:trPr>
          <w:trHeight w:val="682"/>
          <w:jc w:val="center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3F65C742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T230006 „Projekt petica za dvoje – VI. faza“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9A08AB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B4BDB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23.937,00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9F232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1.100,00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BD0F46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FFE997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22.837,00</w:t>
            </w:r>
          </w:p>
        </w:tc>
      </w:tr>
      <w:tr w:rsidR="0024262B" w:rsidRPr="0024262B" w14:paraId="49D00C18" w14:textId="77777777" w:rsidTr="00D04A21">
        <w:trPr>
          <w:trHeight w:val="682"/>
          <w:jc w:val="center"/>
        </w:trPr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1C30C04E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T230007 „Projekt petica za dvoje – VII. faza“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4E28E9" w14:textId="77777777" w:rsidR="0024262B" w:rsidRPr="0024262B" w:rsidRDefault="0024262B" w:rsidP="00D04A2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312 Ostali rashodi za zaposlene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842B70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12.215,00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835BC0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63BC86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1.600,00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44507A" w14:textId="77777777" w:rsidR="0024262B" w:rsidRPr="0024262B" w:rsidRDefault="0024262B" w:rsidP="00D04A2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4262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13.815,00</w:t>
            </w:r>
          </w:p>
        </w:tc>
      </w:tr>
    </w:tbl>
    <w:p w14:paraId="4D6CE243" w14:textId="77777777" w:rsidR="0024262B" w:rsidRPr="0024262B" w:rsidRDefault="0024262B" w:rsidP="0024262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bookmarkEnd w:id="1"/>
    <w:p w14:paraId="6531139B" w14:textId="77777777" w:rsidR="0024262B" w:rsidRPr="0024262B" w:rsidRDefault="0024262B" w:rsidP="0024262B">
      <w:pPr>
        <w:widowControl w:val="0"/>
        <w:ind w:left="3540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24262B">
        <w:rPr>
          <w:rFonts w:asciiTheme="minorHAnsi" w:hAnsiTheme="minorHAnsi" w:cstheme="minorHAnsi"/>
          <w:color w:val="auto"/>
          <w:sz w:val="22"/>
          <w:szCs w:val="22"/>
        </w:rPr>
        <w:t>II.</w:t>
      </w:r>
    </w:p>
    <w:p w14:paraId="26CA1766" w14:textId="77777777" w:rsidR="0024262B" w:rsidRPr="0024262B" w:rsidRDefault="0024262B" w:rsidP="0024262B">
      <w:pPr>
        <w:ind w:firstLine="708"/>
        <w:rPr>
          <w:rFonts w:asciiTheme="minorHAnsi" w:eastAsia="Arial Unicode MS" w:hAnsiTheme="minorHAnsi" w:cstheme="minorHAnsi"/>
          <w:bCs/>
          <w:color w:val="FF0000"/>
          <w:sz w:val="22"/>
          <w:szCs w:val="22"/>
        </w:rPr>
      </w:pPr>
    </w:p>
    <w:p w14:paraId="31F061B9" w14:textId="403E9D29" w:rsidR="0024262B" w:rsidRPr="0024262B" w:rsidRDefault="0024262B" w:rsidP="0024262B">
      <w:pPr>
        <w:ind w:firstLine="708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Ova Odluka je sastavni dio Proračuna Grada Požege za 2023. godinu.</w:t>
      </w:r>
    </w:p>
    <w:p w14:paraId="6DE1BC7D" w14:textId="77777777" w:rsidR="0024262B" w:rsidRPr="0024262B" w:rsidRDefault="0024262B" w:rsidP="0024262B">
      <w:pPr>
        <w:ind w:firstLine="708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0808EFCA" w14:textId="5D3A66CC" w:rsidR="0024262B" w:rsidRPr="0024262B" w:rsidRDefault="0024262B" w:rsidP="0024262B">
      <w:pPr>
        <w:widowControl w:val="0"/>
        <w:tabs>
          <w:tab w:val="left" w:pos="426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III.</w:t>
      </w:r>
    </w:p>
    <w:p w14:paraId="59E3CCE8" w14:textId="77777777" w:rsidR="0024262B" w:rsidRPr="0024262B" w:rsidRDefault="0024262B" w:rsidP="0024262B">
      <w:pPr>
        <w:ind w:firstLine="708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1338C6C9" w14:textId="54C6B2CD" w:rsidR="0024262B" w:rsidRDefault="0024262B" w:rsidP="0024262B">
      <w:pPr>
        <w:ind w:firstLine="708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Gradonačelnik će o izvršenoj preraspodjeli iz točke I. ove Odluke  izvijestiti  Gradsko vijeće Grada Požege prilikom podnošenja Godišnjeg izvještaja o izvršenju Proračuna Grada Požege za 2023. godinu.</w:t>
      </w:r>
    </w:p>
    <w:p w14:paraId="58266A3E" w14:textId="77777777" w:rsidR="0024262B" w:rsidRPr="0024262B" w:rsidRDefault="0024262B" w:rsidP="0024262B">
      <w:pPr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4014E85E" w14:textId="77777777" w:rsidR="0024262B" w:rsidRPr="0024262B" w:rsidRDefault="0024262B" w:rsidP="0024262B">
      <w:pPr>
        <w:ind w:left="3540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IV.</w:t>
      </w:r>
    </w:p>
    <w:p w14:paraId="7D2332E4" w14:textId="77777777" w:rsidR="0024262B" w:rsidRPr="0024262B" w:rsidRDefault="0024262B" w:rsidP="0024262B">
      <w:pPr>
        <w:ind w:firstLine="708"/>
        <w:jc w:val="both"/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</w:pPr>
    </w:p>
    <w:p w14:paraId="4A643F60" w14:textId="65C639FD" w:rsidR="0024262B" w:rsidRPr="0024262B" w:rsidRDefault="0024262B" w:rsidP="0024262B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eastAsia="Arial Unicode MS" w:hAnsiTheme="minorHAnsi" w:cstheme="minorHAnsi"/>
          <w:bCs/>
          <w:color w:val="000000" w:themeColor="text1"/>
          <w:sz w:val="22"/>
          <w:szCs w:val="22"/>
        </w:rPr>
        <w:t>Ova  Odluka stupa na snagu i  primjenjuje se danom donošenja.</w:t>
      </w:r>
    </w:p>
    <w:p w14:paraId="02E02B1B" w14:textId="41DD32E1" w:rsidR="0024262B" w:rsidRDefault="0024262B" w:rsidP="0024262B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E23D2E" w14:textId="77777777" w:rsidR="0024262B" w:rsidRDefault="0024262B" w:rsidP="0024262B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72D8BD" w14:textId="77777777" w:rsidR="0024262B" w:rsidRDefault="0024262B" w:rsidP="0024262B">
      <w:pPr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5F6C5F2" w14:textId="77777777" w:rsidR="0024262B" w:rsidRDefault="0024262B" w:rsidP="0024262B">
      <w:pPr>
        <w:widowControl w:val="0"/>
        <w:ind w:left="567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GRADONAČELNIK</w:t>
      </w:r>
    </w:p>
    <w:p w14:paraId="29A9386A" w14:textId="7714C800" w:rsidR="000B4010" w:rsidRPr="0024262B" w:rsidRDefault="0024262B" w:rsidP="0024262B">
      <w:pPr>
        <w:widowControl w:val="0"/>
        <w:ind w:left="567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dr.sc. Željko Glavić</w:t>
      </w:r>
      <w:r w:rsidRPr="0024262B">
        <w:rPr>
          <w:rFonts w:asciiTheme="minorHAnsi" w:hAnsiTheme="minorHAnsi" w:cstheme="minorHAnsi"/>
          <w:color w:val="000000" w:themeColor="text1"/>
          <w:sz w:val="22"/>
          <w:szCs w:val="22"/>
        </w:rPr>
        <w:t>, v.r.</w:t>
      </w:r>
    </w:p>
    <w:sectPr w:rsidR="000B4010" w:rsidRPr="0024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31"/>
    <w:rsid w:val="000B4010"/>
    <w:rsid w:val="0024262B"/>
    <w:rsid w:val="00E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0DC"/>
  <w15:chartTrackingRefBased/>
  <w15:docId w15:val="{515D54AC-77B8-4D5C-B32C-12C5023F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2B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262B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2023-12-13T08:58:00Z</dcterms:created>
  <dcterms:modified xsi:type="dcterms:W3CDTF">2023-12-13T09:02:00Z</dcterms:modified>
</cp:coreProperties>
</file>