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27"/>
        <w:gridCol w:w="2567"/>
        <w:gridCol w:w="5645"/>
      </w:tblGrid>
      <w:tr w:rsidR="00DD6C07" w:rsidRPr="00D82174" w14:paraId="311A83C0" w14:textId="77777777" w:rsidTr="00CF00C5">
        <w:trPr>
          <w:trHeight w:hRule="exact" w:val="1022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7F6A6CE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noProof/>
                <w:sz w:val="22"/>
                <w:lang w:eastAsia="hr-HR"/>
              </w:rPr>
              <w:drawing>
                <wp:inline distT="0" distB="0" distL="0" distR="0" wp14:anchorId="1A5B8D29" wp14:editId="45432514">
                  <wp:extent cx="428625" cy="542925"/>
                  <wp:effectExtent l="0" t="0" r="9525" b="952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C6A27A4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R  E  P  U  B  L  I  K  A    H  R  V  A  T  S  K  A</w:t>
            </w:r>
          </w:p>
          <w:p w14:paraId="0F7FB39F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POŽEŠKO-SLAVONSKA ŽUPANIJA</w:t>
            </w:r>
          </w:p>
        </w:tc>
      </w:tr>
      <w:tr w:rsidR="00DD6C07" w:rsidRPr="00D82174" w14:paraId="646731D7" w14:textId="77777777" w:rsidTr="00CF00C5">
        <w:trPr>
          <w:trHeight w:hRule="exact" w:val="994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13D1DF0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noProof/>
                <w:sz w:val="22"/>
                <w:lang w:eastAsia="hr-HR"/>
              </w:rPr>
              <w:drawing>
                <wp:inline distT="0" distB="0" distL="0" distR="0" wp14:anchorId="3BF2392C" wp14:editId="013B9C99">
                  <wp:extent cx="561975" cy="552450"/>
                  <wp:effectExtent l="0" t="0" r="9525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00B25B14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GRAD POŽEGA</w:t>
            </w:r>
          </w:p>
          <w:p w14:paraId="555CCE67" w14:textId="01346071" w:rsidR="00DD6C07" w:rsidRPr="00D82174" w:rsidRDefault="001E684E" w:rsidP="00F64C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</w:rPr>
              <w:t xml:space="preserve">Upravni odjel za </w:t>
            </w:r>
            <w:r w:rsidR="002A305B" w:rsidRPr="002A305B">
              <w:rPr>
                <w:rFonts w:ascii="Calibri" w:hAnsi="Calibri" w:cs="Calibri"/>
                <w:b/>
                <w:bCs/>
                <w:sz w:val="22"/>
              </w:rPr>
              <w:t>gospodarstvo, razvoj, zelenu tranziciju, komunalne djelatnosti i upravljanje imovinom</w:t>
            </w:r>
          </w:p>
        </w:tc>
      </w:tr>
      <w:tr w:rsidR="00DD6C07" w:rsidRPr="00D82174" w14:paraId="62A17861" w14:textId="77777777" w:rsidTr="00CF0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0"/>
          <w:jc w:val="center"/>
        </w:trPr>
        <w:tc>
          <w:tcPr>
            <w:tcW w:w="9639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5EFE40A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IZVJEŠĆE O SAVJETOVANJU S JAVNOŠĆU</w:t>
            </w:r>
          </w:p>
          <w:p w14:paraId="3F0C32CB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U POSTUPKU DONOŠENJA:</w:t>
            </w:r>
          </w:p>
          <w:p w14:paraId="6106470B" w14:textId="66C55E3E" w:rsidR="002B6773" w:rsidRDefault="002B6773" w:rsidP="00F64C38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22"/>
              </w:rPr>
            </w:pPr>
            <w:r w:rsidRPr="002B6773">
              <w:rPr>
                <w:rFonts w:cstheme="minorHAnsi"/>
                <w:b/>
                <w:i/>
                <w:iCs/>
                <w:sz w:val="22"/>
              </w:rPr>
              <w:t>Godišnjeg provedbenog plana unapređenja zaštite od požara za područje Grada Požege u 202</w:t>
            </w:r>
            <w:r w:rsidR="002A305B">
              <w:rPr>
                <w:rFonts w:cstheme="minorHAnsi"/>
                <w:b/>
                <w:i/>
                <w:iCs/>
                <w:sz w:val="22"/>
              </w:rPr>
              <w:t>6.</w:t>
            </w:r>
            <w:r w:rsidRPr="002B6773">
              <w:rPr>
                <w:rFonts w:cstheme="minorHAnsi"/>
                <w:b/>
                <w:i/>
                <w:iCs/>
                <w:sz w:val="22"/>
              </w:rPr>
              <w:t xml:space="preserve"> godini</w:t>
            </w:r>
          </w:p>
          <w:p w14:paraId="19CCD8AF" w14:textId="32BD9B6E" w:rsidR="00DD6C07" w:rsidRPr="00D82174" w:rsidRDefault="00DD6C07" w:rsidP="00CF00C5">
            <w:pPr>
              <w:spacing w:after="0" w:line="240" w:lineRule="auto"/>
              <w:jc w:val="center"/>
              <w:rPr>
                <w:rFonts w:cstheme="minorHAnsi"/>
                <w:bCs/>
                <w:i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 xml:space="preserve">Nositelj izrade izvješća: </w:t>
            </w:r>
            <w:r w:rsidR="001E684E" w:rsidRPr="001E684E">
              <w:rPr>
                <w:rFonts w:cstheme="minorHAnsi"/>
                <w:b/>
                <w:bCs/>
                <w:sz w:val="22"/>
              </w:rPr>
              <w:t xml:space="preserve">Upravni odjel za </w:t>
            </w:r>
            <w:r w:rsidR="002A305B" w:rsidRPr="002A305B">
              <w:rPr>
                <w:rFonts w:cstheme="minorHAnsi"/>
                <w:b/>
                <w:bCs/>
                <w:sz w:val="22"/>
              </w:rPr>
              <w:t>gospodarstvo, razvoj, zelenu tranziciju, komunalne djelatnosti i upravljanje imovinom</w:t>
            </w:r>
            <w:r w:rsidR="00CF00C5">
              <w:rPr>
                <w:rFonts w:cstheme="minorHAnsi"/>
                <w:b/>
                <w:bCs/>
                <w:sz w:val="22"/>
              </w:rPr>
              <w:t xml:space="preserve"> 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Požega, </w:t>
            </w:r>
            <w:r w:rsidR="002A305B">
              <w:rPr>
                <w:rFonts w:cstheme="minorHAnsi"/>
                <w:b/>
                <w:bCs/>
                <w:sz w:val="22"/>
              </w:rPr>
              <w:t>15. prosinca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 20</w:t>
            </w:r>
            <w:r w:rsidR="004A1C66" w:rsidRPr="00D82174">
              <w:rPr>
                <w:rFonts w:cstheme="minorHAnsi"/>
                <w:b/>
                <w:bCs/>
                <w:sz w:val="22"/>
              </w:rPr>
              <w:t>2</w:t>
            </w:r>
            <w:r w:rsidR="00B90ACE">
              <w:rPr>
                <w:rFonts w:cstheme="minorHAnsi"/>
                <w:b/>
                <w:bCs/>
                <w:sz w:val="22"/>
              </w:rPr>
              <w:t>5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. godine </w:t>
            </w:r>
          </w:p>
        </w:tc>
      </w:tr>
      <w:tr w:rsidR="00DD6C07" w:rsidRPr="00D82174" w14:paraId="12E6312C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941407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Naziv akta za koji je provedeno savjetovanje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6D134DF" w14:textId="33BBBB7D" w:rsidR="00DD6C07" w:rsidRPr="001E684E" w:rsidRDefault="001E684E" w:rsidP="00F32E5B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1E684E">
              <w:rPr>
                <w:rFonts w:ascii="Calibri" w:hAnsi="Calibri" w:cs="Calibri"/>
                <w:bCs/>
                <w:sz w:val="22"/>
              </w:rPr>
              <w:t xml:space="preserve">Nacrt prijedloga </w:t>
            </w:r>
            <w:r w:rsidR="002B6773" w:rsidRPr="002B6773">
              <w:rPr>
                <w:rFonts w:ascii="Calibri" w:hAnsi="Calibri" w:cs="Calibri"/>
                <w:bCs/>
                <w:sz w:val="22"/>
              </w:rPr>
              <w:t>Godišnjeg provedbenog plana unapređenja zaštite od požara za područje Grada Požege u 202</w:t>
            </w:r>
            <w:r w:rsidR="002A305B">
              <w:rPr>
                <w:rFonts w:ascii="Calibri" w:hAnsi="Calibri" w:cs="Calibri"/>
                <w:bCs/>
                <w:sz w:val="22"/>
              </w:rPr>
              <w:t>6.</w:t>
            </w:r>
            <w:r w:rsidR="002B6773" w:rsidRPr="002B6773">
              <w:rPr>
                <w:rFonts w:ascii="Calibri" w:hAnsi="Calibri" w:cs="Calibri"/>
                <w:bCs/>
                <w:sz w:val="22"/>
              </w:rPr>
              <w:t xml:space="preserve"> godini</w:t>
            </w:r>
          </w:p>
        </w:tc>
      </w:tr>
      <w:tr w:rsidR="00DD6C07" w:rsidRPr="00D82174" w14:paraId="565B1E5D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F91684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Naziv tijela nadležnog za izradu nacrta / provedbu savjetovanja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E17BE7" w14:textId="7478C321" w:rsidR="00DD6C07" w:rsidRPr="001E684E" w:rsidRDefault="001E684E" w:rsidP="001E684E">
            <w:pPr>
              <w:pStyle w:val="Odlomakpopisa"/>
              <w:spacing w:after="0" w:line="240" w:lineRule="auto"/>
              <w:ind w:left="0"/>
              <w:rPr>
                <w:rFonts w:cstheme="minorHAnsi"/>
                <w:sz w:val="22"/>
              </w:rPr>
            </w:pPr>
            <w:r w:rsidRPr="001E684E">
              <w:rPr>
                <w:rFonts w:cstheme="minorHAnsi"/>
                <w:sz w:val="22"/>
              </w:rPr>
              <w:t xml:space="preserve">Upravni odjel za </w:t>
            </w:r>
            <w:r w:rsidR="002A305B" w:rsidRPr="002A305B">
              <w:rPr>
                <w:rFonts w:cstheme="minorHAnsi"/>
                <w:sz w:val="22"/>
              </w:rPr>
              <w:t>gospodarstvo, razvoj, zelenu tranziciju, komunalne djelatnosti i upravljanje imovinom</w:t>
            </w:r>
          </w:p>
        </w:tc>
      </w:tr>
      <w:tr w:rsidR="00DD6C07" w:rsidRPr="00D82174" w14:paraId="5038D337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A8C0A3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Razlozi za donošenje akta i ciljevi koji se njime žele postići uz sažetak ključnih pitanja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0F8708" w14:textId="2BC82FDD" w:rsidR="002B6773" w:rsidRPr="002B6773" w:rsidRDefault="002B6773" w:rsidP="002B6773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2B6773">
              <w:rPr>
                <w:rFonts w:cstheme="minorHAnsi"/>
                <w:bCs/>
                <w:sz w:val="22"/>
              </w:rPr>
              <w:t xml:space="preserve">U skladu sa Zakonom predstavničko tijelo donosi </w:t>
            </w:r>
            <w:r w:rsidR="002A305B" w:rsidRPr="002A305B">
              <w:rPr>
                <w:rFonts w:cstheme="minorHAnsi"/>
                <w:bCs/>
                <w:sz w:val="22"/>
              </w:rPr>
              <w:t>godišnji provedbeni plan unapređenja zaštite od požara</w:t>
            </w:r>
            <w:r w:rsidRPr="002B6773">
              <w:rPr>
                <w:rFonts w:cstheme="minorHAnsi"/>
                <w:bCs/>
                <w:sz w:val="22"/>
              </w:rPr>
              <w:t>.</w:t>
            </w:r>
          </w:p>
          <w:p w14:paraId="54BF76AE" w14:textId="0DB623C2" w:rsidR="00F64C38" w:rsidRPr="00D82174" w:rsidRDefault="002A305B" w:rsidP="002B6773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2A305B">
              <w:rPr>
                <w:rFonts w:cstheme="minorHAnsi"/>
                <w:bCs/>
                <w:sz w:val="22"/>
              </w:rPr>
              <w:t>Provedbeni plan sadrži organizacijske, tehničke i urbanističke mjere u kojima su definirani izvršitelji. Provedbeni plan sadrži i organizacijske i administrativne mjere zaštite od požara na otvorenom prostoru</w:t>
            </w:r>
          </w:p>
        </w:tc>
      </w:tr>
      <w:tr w:rsidR="00DD6C07" w:rsidRPr="00D82174" w14:paraId="09BAC95F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9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0BD54D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Objava dokumenata za savjetovanje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00029B" w14:textId="488C63F4" w:rsidR="00302D3B" w:rsidRPr="00D82174" w:rsidRDefault="00302D3B" w:rsidP="004A1C6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-Obrazac sudjelovanja u postupku savjetovanja s javnošću </w:t>
            </w:r>
          </w:p>
          <w:p w14:paraId="5636A73E" w14:textId="67001FE1" w:rsidR="00302D3B" w:rsidRPr="00B90ACE" w:rsidRDefault="004A1C66" w:rsidP="00404F3A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ACE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B90ACE" w:rsidRPr="00B90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Nacrt prijedloga </w:t>
            </w:r>
          </w:p>
        </w:tc>
      </w:tr>
      <w:tr w:rsidR="00DD6C07" w:rsidRPr="00D82174" w14:paraId="36A1E032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8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CBFECD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Razdoblje provedbe savjetovanja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75FAEEA3" w14:textId="356055FA" w:rsidR="00DD6C07" w:rsidRPr="00D82174" w:rsidRDefault="002B6773" w:rsidP="00F32E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Od </w:t>
            </w:r>
            <w:r w:rsidR="002A305B">
              <w:rPr>
                <w:rFonts w:cstheme="minorHAnsi"/>
                <w:bCs/>
                <w:sz w:val="22"/>
              </w:rPr>
              <w:t>28. 11.</w:t>
            </w:r>
            <w:r>
              <w:rPr>
                <w:rFonts w:cstheme="minorHAnsi"/>
                <w:bCs/>
                <w:sz w:val="22"/>
              </w:rPr>
              <w:t xml:space="preserve"> do </w:t>
            </w:r>
            <w:r w:rsidR="002A305B">
              <w:rPr>
                <w:rFonts w:cstheme="minorHAnsi"/>
                <w:bCs/>
                <w:sz w:val="22"/>
              </w:rPr>
              <w:t>12. 12.</w:t>
            </w:r>
            <w:r w:rsidR="00DD6C07" w:rsidRPr="00D82174">
              <w:rPr>
                <w:rFonts w:cstheme="minorHAnsi"/>
                <w:bCs/>
                <w:sz w:val="22"/>
              </w:rPr>
              <w:t xml:space="preserve"> 20</w:t>
            </w:r>
            <w:r w:rsidR="004A1C66" w:rsidRPr="00D82174">
              <w:rPr>
                <w:rFonts w:cstheme="minorHAnsi"/>
                <w:bCs/>
                <w:sz w:val="22"/>
              </w:rPr>
              <w:t>2</w:t>
            </w:r>
            <w:r w:rsidR="00B90ACE">
              <w:rPr>
                <w:rFonts w:cstheme="minorHAnsi"/>
                <w:bCs/>
                <w:sz w:val="22"/>
              </w:rPr>
              <w:t>5</w:t>
            </w:r>
            <w:r w:rsidR="00DD6C07" w:rsidRPr="00D82174">
              <w:rPr>
                <w:rFonts w:cstheme="minorHAnsi"/>
                <w:bCs/>
                <w:sz w:val="22"/>
              </w:rPr>
              <w:t xml:space="preserve">. godine </w:t>
            </w:r>
          </w:p>
        </w:tc>
      </w:tr>
      <w:tr w:rsidR="00DD6C07" w:rsidRPr="00D82174" w14:paraId="4861CC1F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22B71A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Pregled osnovnih pokazatelja  uključenosti savjetovanja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D75195" w14:textId="2B2AEF58" w:rsidR="00DD6C07" w:rsidRPr="00D82174" w:rsidRDefault="00A334A3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iCs/>
                <w:sz w:val="22"/>
              </w:rPr>
            </w:pPr>
            <w:r w:rsidRPr="00D82174">
              <w:rPr>
                <w:rFonts w:cstheme="minorHAnsi"/>
                <w:bCs/>
                <w:iCs/>
                <w:sz w:val="22"/>
              </w:rPr>
              <w:t>-</w:t>
            </w:r>
          </w:p>
        </w:tc>
      </w:tr>
      <w:tr w:rsidR="00DD6C07" w:rsidRPr="00D82174" w14:paraId="3D62F180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09900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55A89BD" w14:textId="43A50EE7" w:rsidR="002A5818" w:rsidRPr="00D82174" w:rsidRDefault="00233309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-</w:t>
            </w:r>
          </w:p>
        </w:tc>
      </w:tr>
      <w:tr w:rsidR="00DD6C07" w:rsidRPr="00D82174" w14:paraId="6247F319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D78D2D" w14:textId="58E09D80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Ostali oblici savjetovanja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4FAA60" w14:textId="1A836E26" w:rsidR="00DD6C07" w:rsidRPr="00D82174" w:rsidRDefault="001847E6" w:rsidP="00D82174">
            <w:pPr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-</w:t>
            </w:r>
          </w:p>
        </w:tc>
      </w:tr>
      <w:tr w:rsidR="00DD6C07" w:rsidRPr="00D82174" w14:paraId="06349DE6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45F832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Troškovi provedenog savjetovanja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4F8882" w14:textId="088EEAC9" w:rsidR="00DD6C07" w:rsidRPr="00D82174" w:rsidRDefault="00A334A3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iCs/>
                <w:sz w:val="22"/>
              </w:rPr>
              <w:t>-</w:t>
            </w:r>
            <w:r w:rsidR="001E684E">
              <w:rPr>
                <w:rFonts w:cstheme="minorHAnsi"/>
                <w:bCs/>
                <w:iCs/>
                <w:sz w:val="22"/>
              </w:rPr>
              <w:t xml:space="preserve">Za provedbu javnog savjetovanja nisu bila potrebna financijska </w:t>
            </w:r>
            <w:r w:rsidR="007131DF">
              <w:rPr>
                <w:rFonts w:cstheme="minorHAnsi"/>
                <w:bCs/>
                <w:iCs/>
                <w:sz w:val="22"/>
              </w:rPr>
              <w:t>sredstva</w:t>
            </w:r>
          </w:p>
        </w:tc>
      </w:tr>
    </w:tbl>
    <w:p w14:paraId="2B9A3CA6" w14:textId="476F468B" w:rsidR="00A334A3" w:rsidRPr="00D82174" w:rsidRDefault="00A334A3" w:rsidP="00DD6C07">
      <w:pPr>
        <w:spacing w:after="0" w:line="240" w:lineRule="auto"/>
        <w:rPr>
          <w:rFonts w:eastAsia="Calibri" w:cstheme="minorHAnsi"/>
          <w:b/>
          <w:bCs/>
          <w:sz w:val="22"/>
        </w:rPr>
      </w:pPr>
      <w:bookmarkStart w:id="0" w:name="_Toc468978618"/>
    </w:p>
    <w:p w14:paraId="57158814" w14:textId="7C595F26" w:rsidR="00DD6C07" w:rsidRPr="00D82174" w:rsidRDefault="00DD6C07" w:rsidP="00DD6C07">
      <w:pPr>
        <w:spacing w:after="0" w:line="240" w:lineRule="auto"/>
        <w:rPr>
          <w:rFonts w:eastAsia="Calibri" w:cstheme="minorHAnsi"/>
          <w:b/>
          <w:bCs/>
          <w:sz w:val="22"/>
        </w:rPr>
      </w:pPr>
      <w:r w:rsidRPr="00D82174">
        <w:rPr>
          <w:rFonts w:eastAsia="Calibri" w:cstheme="minorHAnsi"/>
          <w:b/>
          <w:bCs/>
          <w:sz w:val="22"/>
        </w:rPr>
        <w:t>Pregled prihvaćenih i neprihvaćenih primjedbi</w:t>
      </w:r>
      <w:bookmarkEnd w:id="0"/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01"/>
        <w:gridCol w:w="2126"/>
        <w:gridCol w:w="2410"/>
        <w:gridCol w:w="2716"/>
      </w:tblGrid>
      <w:tr w:rsidR="00DD6C07" w:rsidRPr="00D82174" w14:paraId="0EF5D95A" w14:textId="77777777" w:rsidTr="00D82174">
        <w:trPr>
          <w:jc w:val="center"/>
        </w:trPr>
        <w:tc>
          <w:tcPr>
            <w:tcW w:w="686" w:type="dxa"/>
            <w:vAlign w:val="center"/>
          </w:tcPr>
          <w:p w14:paraId="70123DC5" w14:textId="20859DC1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Red</w:t>
            </w:r>
            <w:r w:rsidR="00A334A3" w:rsidRPr="00D82174">
              <w:rPr>
                <w:rFonts w:cstheme="minorHAnsi"/>
                <w:sz w:val="22"/>
              </w:rPr>
              <w:t>.</w:t>
            </w:r>
            <w:r w:rsidRPr="00D82174">
              <w:rPr>
                <w:rFonts w:cstheme="minorHAnsi"/>
                <w:sz w:val="22"/>
              </w:rPr>
              <w:t xml:space="preserve"> broj</w:t>
            </w:r>
          </w:p>
        </w:tc>
        <w:tc>
          <w:tcPr>
            <w:tcW w:w="1701" w:type="dxa"/>
            <w:vAlign w:val="center"/>
          </w:tcPr>
          <w:p w14:paraId="06D89047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Sudionik savjetovanja (ime i prezime pojedinca, naziv organizacije)</w:t>
            </w:r>
          </w:p>
        </w:tc>
        <w:tc>
          <w:tcPr>
            <w:tcW w:w="2126" w:type="dxa"/>
            <w:vAlign w:val="center"/>
          </w:tcPr>
          <w:p w14:paraId="3D23A1E0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Članak ili drugi dio nacrta na koji se odnosi prijedlog ili mišljenje</w:t>
            </w:r>
          </w:p>
        </w:tc>
        <w:tc>
          <w:tcPr>
            <w:tcW w:w="2410" w:type="dxa"/>
            <w:vAlign w:val="center"/>
          </w:tcPr>
          <w:p w14:paraId="1B05DD0D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Tekst zaprimljenog prijedloga ili mišljenja</w:t>
            </w:r>
          </w:p>
        </w:tc>
        <w:tc>
          <w:tcPr>
            <w:tcW w:w="2716" w:type="dxa"/>
            <w:vAlign w:val="center"/>
          </w:tcPr>
          <w:p w14:paraId="4AFE0AEC" w14:textId="212912E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 xml:space="preserve">Status prijedloga ili mišljenja (prihvaćanje/neprihvaćanje s obrazloženjem) </w:t>
            </w:r>
          </w:p>
        </w:tc>
      </w:tr>
      <w:tr w:rsidR="00D82174" w:rsidRPr="00D82174" w14:paraId="1126E6D4" w14:textId="77777777" w:rsidTr="00D82174">
        <w:trPr>
          <w:trHeight w:val="645"/>
          <w:jc w:val="center"/>
        </w:trPr>
        <w:tc>
          <w:tcPr>
            <w:tcW w:w="686" w:type="dxa"/>
            <w:vAlign w:val="center"/>
          </w:tcPr>
          <w:p w14:paraId="4AD1B8A8" w14:textId="45A7DCD1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524759">
              <w:rPr>
                <w:rFonts w:cstheme="minorHAnsi"/>
                <w:sz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AA5D31B" w14:textId="53CF0DE0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76A096FC" w14:textId="49541CF2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410" w:type="dxa"/>
            <w:vAlign w:val="center"/>
          </w:tcPr>
          <w:p w14:paraId="09CD3C22" w14:textId="3AE75033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716" w:type="dxa"/>
            <w:vAlign w:val="center"/>
          </w:tcPr>
          <w:p w14:paraId="21889E20" w14:textId="56FC77A9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</w:tr>
    </w:tbl>
    <w:p w14:paraId="673539C5" w14:textId="77777777" w:rsidR="00233309" w:rsidRPr="00D82174" w:rsidRDefault="00233309" w:rsidP="00803D33">
      <w:pPr>
        <w:spacing w:after="0"/>
        <w:jc w:val="both"/>
        <w:rPr>
          <w:rFonts w:cstheme="minorHAnsi"/>
          <w:sz w:val="22"/>
        </w:rPr>
      </w:pPr>
    </w:p>
    <w:p w14:paraId="279E18EF" w14:textId="580B97DC" w:rsidR="00B90ACE" w:rsidRPr="002B6773" w:rsidRDefault="00233309" w:rsidP="00B90ACE">
      <w:pPr>
        <w:spacing w:after="0"/>
        <w:jc w:val="both"/>
        <w:rPr>
          <w:rFonts w:cstheme="minorHAnsi"/>
          <w:sz w:val="22"/>
        </w:rPr>
      </w:pPr>
      <w:r w:rsidRPr="00D82174">
        <w:rPr>
          <w:rFonts w:cstheme="minorHAnsi"/>
          <w:sz w:val="22"/>
        </w:rPr>
        <w:t xml:space="preserve">U razdoblju provedbe savjetovanja od </w:t>
      </w:r>
      <w:r w:rsidR="002A305B">
        <w:rPr>
          <w:rFonts w:cstheme="minorHAnsi"/>
          <w:sz w:val="22"/>
        </w:rPr>
        <w:t>28. 11. do 12. 12.</w:t>
      </w:r>
      <w:r w:rsidR="002B6773" w:rsidRPr="002B6773">
        <w:rPr>
          <w:rFonts w:cstheme="minorHAnsi"/>
          <w:sz w:val="22"/>
        </w:rPr>
        <w:t xml:space="preserve"> 2025. godine</w:t>
      </w:r>
      <w:r w:rsidR="001E684E" w:rsidRPr="001E684E">
        <w:rPr>
          <w:rFonts w:cstheme="minorHAnsi"/>
          <w:sz w:val="22"/>
        </w:rPr>
        <w:t xml:space="preserve"> </w:t>
      </w:r>
      <w:r w:rsidRPr="00D82174">
        <w:rPr>
          <w:rFonts w:cstheme="minorHAnsi"/>
          <w:sz w:val="22"/>
        </w:rPr>
        <w:t xml:space="preserve">nije zaprimljen niti jedan prijedlog za </w:t>
      </w:r>
      <w:r w:rsidRPr="001E684E">
        <w:rPr>
          <w:rFonts w:cstheme="minorHAnsi"/>
          <w:sz w:val="22"/>
        </w:rPr>
        <w:t xml:space="preserve">izmjenu </w:t>
      </w:r>
      <w:r w:rsidR="001E684E" w:rsidRPr="001E684E">
        <w:rPr>
          <w:rFonts w:cstheme="minorHAnsi"/>
          <w:sz w:val="22"/>
        </w:rPr>
        <w:t xml:space="preserve">Nacrta </w:t>
      </w:r>
      <w:r w:rsidR="001E684E" w:rsidRPr="002B6773">
        <w:rPr>
          <w:rFonts w:cstheme="minorHAnsi"/>
          <w:sz w:val="22"/>
        </w:rPr>
        <w:t xml:space="preserve">prijedloga </w:t>
      </w:r>
      <w:r w:rsidR="002B6773" w:rsidRPr="002B6773">
        <w:rPr>
          <w:rFonts w:cstheme="minorHAnsi"/>
          <w:sz w:val="22"/>
        </w:rPr>
        <w:t>Godišnjeg provedbenog plana unapređenja zaštite od požara za područje Grada Požege u 202</w:t>
      </w:r>
      <w:r w:rsidR="002A305B">
        <w:rPr>
          <w:rFonts w:cstheme="minorHAnsi"/>
          <w:sz w:val="22"/>
        </w:rPr>
        <w:t>6.</w:t>
      </w:r>
      <w:r w:rsidR="002B6773" w:rsidRPr="002B6773">
        <w:rPr>
          <w:rFonts w:cstheme="minorHAnsi"/>
          <w:sz w:val="22"/>
        </w:rPr>
        <w:t xml:space="preserve"> godini</w:t>
      </w:r>
    </w:p>
    <w:p w14:paraId="3D41A4C9" w14:textId="14D11863" w:rsidR="00FC3197" w:rsidRPr="001E684E" w:rsidRDefault="00803D33" w:rsidP="00B90ACE">
      <w:pPr>
        <w:spacing w:after="0"/>
        <w:jc w:val="both"/>
        <w:rPr>
          <w:rFonts w:cstheme="minorHAnsi"/>
          <w:sz w:val="22"/>
        </w:rPr>
      </w:pPr>
      <w:r w:rsidRPr="001E684E">
        <w:rPr>
          <w:rFonts w:cstheme="minorHAnsi"/>
          <w:sz w:val="22"/>
        </w:rPr>
        <w:t xml:space="preserve">Požega, </w:t>
      </w:r>
      <w:r w:rsidR="002A305B">
        <w:rPr>
          <w:rFonts w:cstheme="minorHAnsi"/>
          <w:sz w:val="22"/>
        </w:rPr>
        <w:t>15. prosinca 2025</w:t>
      </w:r>
      <w:r w:rsidRPr="001E684E">
        <w:rPr>
          <w:rFonts w:cstheme="minorHAnsi"/>
          <w:sz w:val="22"/>
        </w:rPr>
        <w:t>. godine</w:t>
      </w:r>
    </w:p>
    <w:sectPr w:rsidR="00FC3197" w:rsidRPr="001E684E" w:rsidSect="00CF00C5">
      <w:headerReference w:type="default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1C28" w14:textId="77777777" w:rsidR="001B6E6A" w:rsidRDefault="001B6E6A" w:rsidP="00D43F6F">
      <w:pPr>
        <w:spacing w:after="0" w:line="240" w:lineRule="auto"/>
      </w:pPr>
      <w:r>
        <w:separator/>
      </w:r>
    </w:p>
  </w:endnote>
  <w:endnote w:type="continuationSeparator" w:id="0">
    <w:p w14:paraId="1AC39A18" w14:textId="77777777" w:rsidR="001B6E6A" w:rsidRDefault="001B6E6A" w:rsidP="00D4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E178" w14:textId="4BBB40B4" w:rsidR="00D43F6F" w:rsidRDefault="00D43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0D64" w14:textId="77777777" w:rsidR="001B6E6A" w:rsidRDefault="001B6E6A" w:rsidP="00D43F6F">
      <w:pPr>
        <w:spacing w:after="0" w:line="240" w:lineRule="auto"/>
      </w:pPr>
      <w:r>
        <w:separator/>
      </w:r>
    </w:p>
  </w:footnote>
  <w:footnote w:type="continuationSeparator" w:id="0">
    <w:p w14:paraId="05E40CCD" w14:textId="77777777" w:rsidR="001B6E6A" w:rsidRDefault="001B6E6A" w:rsidP="00D4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A91F" w14:textId="0931D49F" w:rsidR="00D82174" w:rsidRPr="00D82174" w:rsidRDefault="00D82174" w:rsidP="00D82174">
    <w:pPr>
      <w:pStyle w:val="Zaglavlje"/>
      <w:jc w:val="right"/>
      <w:rPr>
        <w:i/>
        <w:iCs/>
      </w:rPr>
    </w:pPr>
    <w:r w:rsidRPr="00D82174">
      <w:rPr>
        <w:rFonts w:cstheme="minorHAnsi"/>
        <w:i/>
        <w:iCs/>
        <w:sz w:val="22"/>
      </w:rPr>
      <w:t>Obrazac Izvješća o savjetovanju s javnošću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F5A"/>
    <w:multiLevelType w:val="hybridMultilevel"/>
    <w:tmpl w:val="2DC8D010"/>
    <w:lvl w:ilvl="0" w:tplc="010ED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6704"/>
    <w:multiLevelType w:val="hybridMultilevel"/>
    <w:tmpl w:val="D4929A56"/>
    <w:lvl w:ilvl="0" w:tplc="496E9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2060"/>
    <w:multiLevelType w:val="hybridMultilevel"/>
    <w:tmpl w:val="2EAC0406"/>
    <w:lvl w:ilvl="0" w:tplc="7EE6DE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364B9E"/>
    <w:multiLevelType w:val="hybridMultilevel"/>
    <w:tmpl w:val="1C7297C4"/>
    <w:lvl w:ilvl="0" w:tplc="5DD2BF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64FE"/>
    <w:multiLevelType w:val="hybridMultilevel"/>
    <w:tmpl w:val="275676FE"/>
    <w:lvl w:ilvl="0" w:tplc="46D6DFE6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B923EA"/>
    <w:multiLevelType w:val="hybridMultilevel"/>
    <w:tmpl w:val="15FE2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214"/>
    <w:multiLevelType w:val="hybridMultilevel"/>
    <w:tmpl w:val="818ECD86"/>
    <w:lvl w:ilvl="0" w:tplc="53B018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93762">
    <w:abstractNumId w:val="0"/>
  </w:num>
  <w:num w:numId="2" w16cid:durableId="1386686002">
    <w:abstractNumId w:val="3"/>
  </w:num>
  <w:num w:numId="3" w16cid:durableId="867990392">
    <w:abstractNumId w:val="6"/>
  </w:num>
  <w:num w:numId="4" w16cid:durableId="162018139">
    <w:abstractNumId w:val="1"/>
  </w:num>
  <w:num w:numId="5" w16cid:durableId="1853186015">
    <w:abstractNumId w:val="4"/>
  </w:num>
  <w:num w:numId="6" w16cid:durableId="1799373866">
    <w:abstractNumId w:val="2"/>
  </w:num>
  <w:num w:numId="7" w16cid:durableId="1684473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07"/>
    <w:rsid w:val="000312C7"/>
    <w:rsid w:val="0007014D"/>
    <w:rsid w:val="000D672C"/>
    <w:rsid w:val="000F34C9"/>
    <w:rsid w:val="00172019"/>
    <w:rsid w:val="001847E6"/>
    <w:rsid w:val="001B6E6A"/>
    <w:rsid w:val="001D0781"/>
    <w:rsid w:val="001E4D8F"/>
    <w:rsid w:val="001E684E"/>
    <w:rsid w:val="00205EDD"/>
    <w:rsid w:val="00233309"/>
    <w:rsid w:val="00266E92"/>
    <w:rsid w:val="002735EC"/>
    <w:rsid w:val="002747C5"/>
    <w:rsid w:val="002A305B"/>
    <w:rsid w:val="002A5818"/>
    <w:rsid w:val="002B6773"/>
    <w:rsid w:val="002D7C16"/>
    <w:rsid w:val="002F1CED"/>
    <w:rsid w:val="002F5381"/>
    <w:rsid w:val="00300A87"/>
    <w:rsid w:val="00302D3B"/>
    <w:rsid w:val="003E51DA"/>
    <w:rsid w:val="00404F3A"/>
    <w:rsid w:val="004055CD"/>
    <w:rsid w:val="004232B9"/>
    <w:rsid w:val="0046559D"/>
    <w:rsid w:val="00482B6B"/>
    <w:rsid w:val="004A1C66"/>
    <w:rsid w:val="004A70C8"/>
    <w:rsid w:val="004C7CCF"/>
    <w:rsid w:val="004F4548"/>
    <w:rsid w:val="0054371A"/>
    <w:rsid w:val="00583A40"/>
    <w:rsid w:val="00595A53"/>
    <w:rsid w:val="005E2F8A"/>
    <w:rsid w:val="00642F53"/>
    <w:rsid w:val="00675CFE"/>
    <w:rsid w:val="006B1DB4"/>
    <w:rsid w:val="006C72E0"/>
    <w:rsid w:val="006F4205"/>
    <w:rsid w:val="007131DF"/>
    <w:rsid w:val="0071539E"/>
    <w:rsid w:val="00742030"/>
    <w:rsid w:val="00753AED"/>
    <w:rsid w:val="00782386"/>
    <w:rsid w:val="007C311D"/>
    <w:rsid w:val="007C4DE3"/>
    <w:rsid w:val="007C58F0"/>
    <w:rsid w:val="00803D33"/>
    <w:rsid w:val="00837632"/>
    <w:rsid w:val="00863918"/>
    <w:rsid w:val="00866AF9"/>
    <w:rsid w:val="008737DE"/>
    <w:rsid w:val="008A18D7"/>
    <w:rsid w:val="00904BF2"/>
    <w:rsid w:val="00916CAB"/>
    <w:rsid w:val="00936084"/>
    <w:rsid w:val="00957A0E"/>
    <w:rsid w:val="00957A78"/>
    <w:rsid w:val="009A2F18"/>
    <w:rsid w:val="009B0C68"/>
    <w:rsid w:val="009B1E3A"/>
    <w:rsid w:val="009D04A9"/>
    <w:rsid w:val="00A125B9"/>
    <w:rsid w:val="00A334A3"/>
    <w:rsid w:val="00A36AE5"/>
    <w:rsid w:val="00AC0825"/>
    <w:rsid w:val="00AF7D7C"/>
    <w:rsid w:val="00B0693B"/>
    <w:rsid w:val="00B339A3"/>
    <w:rsid w:val="00B45E5E"/>
    <w:rsid w:val="00B66798"/>
    <w:rsid w:val="00B90ACE"/>
    <w:rsid w:val="00BD32D1"/>
    <w:rsid w:val="00BD3FA9"/>
    <w:rsid w:val="00BE1AB2"/>
    <w:rsid w:val="00C104B8"/>
    <w:rsid w:val="00C2460E"/>
    <w:rsid w:val="00C46F36"/>
    <w:rsid w:val="00CA1BB3"/>
    <w:rsid w:val="00CC4C34"/>
    <w:rsid w:val="00CD063E"/>
    <w:rsid w:val="00CE4BD3"/>
    <w:rsid w:val="00CF00C5"/>
    <w:rsid w:val="00D24791"/>
    <w:rsid w:val="00D407E9"/>
    <w:rsid w:val="00D43F6F"/>
    <w:rsid w:val="00D4594E"/>
    <w:rsid w:val="00D82174"/>
    <w:rsid w:val="00DA0436"/>
    <w:rsid w:val="00DA65EB"/>
    <w:rsid w:val="00DD6C07"/>
    <w:rsid w:val="00DE6BAF"/>
    <w:rsid w:val="00DE77C3"/>
    <w:rsid w:val="00E078F6"/>
    <w:rsid w:val="00E41BFE"/>
    <w:rsid w:val="00E94A03"/>
    <w:rsid w:val="00EA5282"/>
    <w:rsid w:val="00EF4E14"/>
    <w:rsid w:val="00F16EA9"/>
    <w:rsid w:val="00F32E5B"/>
    <w:rsid w:val="00F610BF"/>
    <w:rsid w:val="00F64C38"/>
    <w:rsid w:val="00FB5021"/>
    <w:rsid w:val="00FB6BFF"/>
    <w:rsid w:val="00FC3197"/>
    <w:rsid w:val="00FF17B5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F84E"/>
  <w15:chartTrackingRefBased/>
  <w15:docId w15:val="{11D9137E-4720-4DF1-A951-63B338D9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07"/>
    <w:pPr>
      <w:spacing w:line="254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D6C07"/>
    <w:rPr>
      <w:sz w:val="24"/>
    </w:rPr>
  </w:style>
  <w:style w:type="paragraph" w:styleId="Odlomakpopisa">
    <w:name w:val="List Paragraph"/>
    <w:basedOn w:val="Normal"/>
    <w:link w:val="OdlomakpopisaChar"/>
    <w:uiPriority w:val="34"/>
    <w:qFormat/>
    <w:rsid w:val="00DD6C07"/>
    <w:pPr>
      <w:spacing w:line="256" w:lineRule="auto"/>
      <w:ind w:left="720"/>
      <w:contextualSpacing/>
    </w:pPr>
  </w:style>
  <w:style w:type="paragraph" w:styleId="Opisslike">
    <w:name w:val="caption"/>
    <w:basedOn w:val="Normal"/>
    <w:next w:val="Normal"/>
    <w:uiPriority w:val="35"/>
    <w:unhideWhenUsed/>
    <w:qFormat/>
    <w:rsid w:val="00DD6C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wffiletext">
    <w:name w:val="wf_file_text"/>
    <w:basedOn w:val="Zadanifontodlomka"/>
    <w:rsid w:val="00DD6C07"/>
  </w:style>
  <w:style w:type="paragraph" w:styleId="Tekstbalonia">
    <w:name w:val="Balloon Text"/>
    <w:basedOn w:val="Normal"/>
    <w:link w:val="TekstbaloniaChar"/>
    <w:uiPriority w:val="99"/>
    <w:semiHidden/>
    <w:unhideWhenUsed/>
    <w:rsid w:val="0030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D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3F6F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D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3F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5026-0CE9-4E27-9CC0-87FA30D6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cp:lastPrinted>2025-11-21T10:11:00Z</cp:lastPrinted>
  <dcterms:created xsi:type="dcterms:W3CDTF">2025-12-15T06:03:00Z</dcterms:created>
  <dcterms:modified xsi:type="dcterms:W3CDTF">2025-12-15T06:03:00Z</dcterms:modified>
</cp:coreProperties>
</file>