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80" w:firstRow="0" w:lastRow="0" w:firstColumn="1" w:lastColumn="0" w:noHBand="0" w:noVBand="0"/>
      </w:tblPr>
      <w:tblGrid>
        <w:gridCol w:w="1427"/>
        <w:gridCol w:w="2567"/>
        <w:gridCol w:w="5645"/>
      </w:tblGrid>
      <w:tr w:rsidR="00DD6C07" w:rsidRPr="00D82174" w14:paraId="311A83C0" w14:textId="77777777" w:rsidTr="00D82174">
        <w:trPr>
          <w:trHeight w:hRule="exact" w:val="1163"/>
          <w:jc w:val="center"/>
        </w:trPr>
        <w:tc>
          <w:tcPr>
            <w:tcW w:w="1427" w:type="dxa"/>
            <w:tcBorders>
              <w:top w:val="single" w:sz="8" w:space="0" w:color="auto"/>
              <w:left w:val="single" w:sz="8" w:space="0" w:color="auto"/>
              <w:bottom w:val="single" w:sz="8" w:space="0" w:color="auto"/>
              <w:right w:val="single" w:sz="4" w:space="0" w:color="auto"/>
            </w:tcBorders>
            <w:shd w:val="clear" w:color="auto" w:fill="EAF1DD"/>
            <w:vAlign w:val="center"/>
            <w:hideMark/>
          </w:tcPr>
          <w:p w14:paraId="67F6A6CE" w14:textId="77777777" w:rsidR="00DD6C07" w:rsidRPr="00D82174" w:rsidRDefault="00DD6C07" w:rsidP="004542D5">
            <w:pPr>
              <w:spacing w:after="0" w:line="240" w:lineRule="auto"/>
              <w:jc w:val="center"/>
              <w:rPr>
                <w:rFonts w:cstheme="minorHAnsi"/>
                <w:b/>
                <w:bCs/>
                <w:sz w:val="22"/>
              </w:rPr>
            </w:pPr>
            <w:r w:rsidRPr="00D82174">
              <w:rPr>
                <w:rFonts w:cstheme="minorHAnsi"/>
                <w:b/>
                <w:noProof/>
                <w:sz w:val="22"/>
                <w:lang w:eastAsia="hr-HR"/>
              </w:rPr>
              <w:drawing>
                <wp:inline distT="0" distB="0" distL="0" distR="0" wp14:anchorId="1A5B8D29" wp14:editId="45432514">
                  <wp:extent cx="428625" cy="542925"/>
                  <wp:effectExtent l="0" t="0" r="952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tc>
        <w:tc>
          <w:tcPr>
            <w:tcW w:w="8212"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7C6A27A4" w14:textId="77777777" w:rsidR="00DD6C07" w:rsidRPr="00D82174" w:rsidRDefault="00DD6C07" w:rsidP="004542D5">
            <w:pPr>
              <w:spacing w:after="0" w:line="240" w:lineRule="auto"/>
              <w:jc w:val="center"/>
              <w:rPr>
                <w:rFonts w:cstheme="minorHAnsi"/>
                <w:b/>
                <w:bCs/>
                <w:noProof/>
                <w:sz w:val="22"/>
              </w:rPr>
            </w:pPr>
            <w:r w:rsidRPr="00D82174">
              <w:rPr>
                <w:rFonts w:cstheme="minorHAnsi"/>
                <w:b/>
                <w:bCs/>
                <w:sz w:val="22"/>
              </w:rPr>
              <w:t>R  E  P  U  B  L  I  K  A    H  R  V  A  T  S  K  A</w:t>
            </w:r>
          </w:p>
          <w:p w14:paraId="0F7FB39F" w14:textId="77777777" w:rsidR="00DD6C07" w:rsidRPr="00D82174" w:rsidRDefault="00DD6C07" w:rsidP="004542D5">
            <w:pPr>
              <w:spacing w:after="0" w:line="240" w:lineRule="auto"/>
              <w:jc w:val="center"/>
              <w:rPr>
                <w:rFonts w:cstheme="minorHAnsi"/>
                <w:b/>
                <w:bCs/>
                <w:noProof/>
                <w:sz w:val="22"/>
              </w:rPr>
            </w:pPr>
            <w:r w:rsidRPr="00D82174">
              <w:rPr>
                <w:rFonts w:cstheme="minorHAnsi"/>
                <w:b/>
                <w:bCs/>
                <w:sz w:val="22"/>
              </w:rPr>
              <w:t>POŽEŠKO-SLAVONSKA ŽUPANIJA</w:t>
            </w:r>
          </w:p>
        </w:tc>
      </w:tr>
      <w:tr w:rsidR="00DD6C07" w:rsidRPr="00D82174" w14:paraId="646731D7" w14:textId="77777777" w:rsidTr="00D82174">
        <w:trPr>
          <w:trHeight w:hRule="exact" w:val="1153"/>
          <w:jc w:val="center"/>
        </w:trPr>
        <w:tc>
          <w:tcPr>
            <w:tcW w:w="1427" w:type="dxa"/>
            <w:tcBorders>
              <w:top w:val="single" w:sz="8" w:space="0" w:color="auto"/>
              <w:left w:val="single" w:sz="8" w:space="0" w:color="auto"/>
              <w:bottom w:val="single" w:sz="8" w:space="0" w:color="auto"/>
              <w:right w:val="single" w:sz="4" w:space="0" w:color="auto"/>
            </w:tcBorders>
            <w:shd w:val="clear" w:color="auto" w:fill="EAF1DD"/>
            <w:vAlign w:val="center"/>
            <w:hideMark/>
          </w:tcPr>
          <w:p w14:paraId="613D1DF0" w14:textId="77777777" w:rsidR="00DD6C07" w:rsidRPr="00D82174" w:rsidRDefault="00DD6C07" w:rsidP="004542D5">
            <w:pPr>
              <w:spacing w:after="0" w:line="240" w:lineRule="auto"/>
              <w:jc w:val="center"/>
              <w:rPr>
                <w:rFonts w:cstheme="minorHAnsi"/>
                <w:b/>
                <w:bCs/>
                <w:noProof/>
                <w:sz w:val="22"/>
              </w:rPr>
            </w:pPr>
            <w:r w:rsidRPr="00D82174">
              <w:rPr>
                <w:rFonts w:cstheme="minorHAnsi"/>
                <w:b/>
                <w:noProof/>
                <w:sz w:val="22"/>
                <w:lang w:eastAsia="hr-HR"/>
              </w:rPr>
              <w:drawing>
                <wp:inline distT="0" distB="0" distL="0" distR="0" wp14:anchorId="3BF2392C" wp14:editId="10D25C64">
                  <wp:extent cx="561975" cy="552450"/>
                  <wp:effectExtent l="0" t="0" r="9525"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8212" w:type="dxa"/>
            <w:gridSpan w:val="2"/>
            <w:tcBorders>
              <w:top w:val="single" w:sz="8" w:space="0" w:color="auto"/>
              <w:left w:val="single" w:sz="4" w:space="0" w:color="auto"/>
              <w:bottom w:val="single" w:sz="8" w:space="0" w:color="auto"/>
              <w:right w:val="single" w:sz="8" w:space="0" w:color="auto"/>
            </w:tcBorders>
            <w:shd w:val="clear" w:color="auto" w:fill="EAF1DD"/>
            <w:vAlign w:val="center"/>
            <w:hideMark/>
          </w:tcPr>
          <w:p w14:paraId="00B25B14" w14:textId="77777777" w:rsidR="00DD6C07" w:rsidRPr="00D82174" w:rsidRDefault="00DD6C07" w:rsidP="004542D5">
            <w:pPr>
              <w:spacing w:after="0" w:line="240" w:lineRule="auto"/>
              <w:jc w:val="center"/>
              <w:rPr>
                <w:rFonts w:cstheme="minorHAnsi"/>
                <w:b/>
                <w:bCs/>
                <w:sz w:val="22"/>
              </w:rPr>
            </w:pPr>
            <w:r w:rsidRPr="00D82174">
              <w:rPr>
                <w:rFonts w:cstheme="minorHAnsi"/>
                <w:b/>
                <w:bCs/>
                <w:sz w:val="22"/>
              </w:rPr>
              <w:t>GRAD POŽEGA</w:t>
            </w:r>
          </w:p>
          <w:p w14:paraId="555CCE67" w14:textId="4C478ABC" w:rsidR="00DD6C07" w:rsidRPr="00D82174" w:rsidRDefault="001E684E" w:rsidP="00F64C38">
            <w:pPr>
              <w:spacing w:after="0" w:line="240" w:lineRule="auto"/>
              <w:jc w:val="center"/>
              <w:rPr>
                <w:rFonts w:cstheme="minorHAnsi"/>
                <w:b/>
                <w:bCs/>
                <w:sz w:val="22"/>
              </w:rPr>
            </w:pPr>
            <w:r w:rsidRPr="003E7F1C">
              <w:rPr>
                <w:rFonts w:ascii="Calibri" w:hAnsi="Calibri" w:cs="Calibri"/>
                <w:b/>
                <w:bCs/>
                <w:sz w:val="22"/>
              </w:rPr>
              <w:t>Upravni odjel za komunalne djelatnosti i gospodarenje</w:t>
            </w:r>
          </w:p>
        </w:tc>
      </w:tr>
      <w:tr w:rsidR="00DD6C07" w:rsidRPr="00D82174" w14:paraId="62A17861"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9"/>
          <w:jc w:val="center"/>
        </w:trPr>
        <w:tc>
          <w:tcPr>
            <w:tcW w:w="9639" w:type="dxa"/>
            <w:gridSpan w:val="3"/>
            <w:tcBorders>
              <w:bottom w:val="single" w:sz="4" w:space="0" w:color="365F91"/>
            </w:tcBorders>
            <w:shd w:val="clear" w:color="auto" w:fill="B8CCE4"/>
            <w:vAlign w:val="center"/>
          </w:tcPr>
          <w:p w14:paraId="65EFE40A" w14:textId="77777777" w:rsidR="00DD6C07" w:rsidRPr="00D82174" w:rsidRDefault="00DD6C07" w:rsidP="004542D5">
            <w:pPr>
              <w:spacing w:after="0" w:line="240" w:lineRule="auto"/>
              <w:jc w:val="center"/>
              <w:rPr>
                <w:rFonts w:cstheme="minorHAnsi"/>
                <w:b/>
                <w:bCs/>
                <w:sz w:val="22"/>
              </w:rPr>
            </w:pPr>
            <w:r w:rsidRPr="00D82174">
              <w:rPr>
                <w:rFonts w:cstheme="minorHAnsi"/>
                <w:b/>
                <w:bCs/>
                <w:sz w:val="22"/>
              </w:rPr>
              <w:t>IZVJEŠĆE O SAVJETOVANJU S JAVNOŠĆU</w:t>
            </w:r>
          </w:p>
          <w:p w14:paraId="3F0C32CB" w14:textId="77777777" w:rsidR="00DD6C07" w:rsidRPr="00D82174" w:rsidRDefault="00DD6C07" w:rsidP="004542D5">
            <w:pPr>
              <w:spacing w:after="0" w:line="240" w:lineRule="auto"/>
              <w:jc w:val="center"/>
              <w:rPr>
                <w:rFonts w:cstheme="minorHAnsi"/>
                <w:bCs/>
                <w:sz w:val="22"/>
              </w:rPr>
            </w:pPr>
            <w:r w:rsidRPr="00D82174">
              <w:rPr>
                <w:rFonts w:cstheme="minorHAnsi"/>
                <w:bCs/>
                <w:sz w:val="22"/>
              </w:rPr>
              <w:t>U POSTUPKU DONOŠENJA:</w:t>
            </w:r>
          </w:p>
          <w:p w14:paraId="751D7967" w14:textId="77777777" w:rsidR="001E684E" w:rsidRDefault="001E684E" w:rsidP="00F64C38">
            <w:pPr>
              <w:spacing w:after="0" w:line="240" w:lineRule="auto"/>
              <w:jc w:val="center"/>
              <w:rPr>
                <w:rFonts w:cstheme="minorHAnsi"/>
                <w:b/>
                <w:i/>
                <w:iCs/>
                <w:sz w:val="22"/>
              </w:rPr>
            </w:pPr>
            <w:r w:rsidRPr="001E684E">
              <w:rPr>
                <w:rFonts w:cstheme="minorHAnsi"/>
                <w:b/>
                <w:i/>
                <w:iCs/>
                <w:sz w:val="22"/>
              </w:rPr>
              <w:t>Odluke o izmjeni Odluke o načinu pružanja javne usluge sakupljanja komunalnog otpada na području grada Požege</w:t>
            </w:r>
          </w:p>
          <w:p w14:paraId="25D5E55D" w14:textId="4B8F1107" w:rsidR="00F64C38" w:rsidRPr="00D82174" w:rsidRDefault="00DD6C07" w:rsidP="00F64C38">
            <w:pPr>
              <w:spacing w:after="0" w:line="240" w:lineRule="auto"/>
              <w:jc w:val="center"/>
              <w:rPr>
                <w:rFonts w:cstheme="minorHAnsi"/>
                <w:b/>
                <w:bCs/>
                <w:sz w:val="22"/>
              </w:rPr>
            </w:pPr>
            <w:r w:rsidRPr="00D82174">
              <w:rPr>
                <w:rFonts w:cstheme="minorHAnsi"/>
                <w:b/>
                <w:bCs/>
                <w:sz w:val="22"/>
              </w:rPr>
              <w:t xml:space="preserve">Nositelj izrade izvješća: </w:t>
            </w:r>
            <w:r w:rsidR="001E684E" w:rsidRPr="001E684E">
              <w:rPr>
                <w:rFonts w:cstheme="minorHAnsi"/>
                <w:b/>
                <w:bCs/>
                <w:sz w:val="22"/>
              </w:rPr>
              <w:t>Upravni odjel za komunalne djelatnosti i gospodarenje</w:t>
            </w:r>
          </w:p>
          <w:p w14:paraId="19CCD8AF" w14:textId="76EFCBA0" w:rsidR="00DD6C07" w:rsidRPr="00D82174" w:rsidRDefault="00DD6C07" w:rsidP="00404F3A">
            <w:pPr>
              <w:spacing w:after="0" w:line="240" w:lineRule="auto"/>
              <w:jc w:val="center"/>
              <w:rPr>
                <w:rFonts w:cstheme="minorHAnsi"/>
                <w:bCs/>
                <w:i/>
                <w:sz w:val="22"/>
              </w:rPr>
            </w:pPr>
            <w:r w:rsidRPr="00D82174">
              <w:rPr>
                <w:rFonts w:cstheme="minorHAnsi"/>
                <w:b/>
                <w:bCs/>
                <w:sz w:val="22"/>
              </w:rPr>
              <w:t xml:space="preserve">Požega, </w:t>
            </w:r>
            <w:r w:rsidR="001E684E">
              <w:rPr>
                <w:rFonts w:cstheme="minorHAnsi"/>
                <w:b/>
                <w:bCs/>
                <w:sz w:val="22"/>
              </w:rPr>
              <w:t>7. listopada</w:t>
            </w:r>
            <w:r w:rsidRPr="00D82174">
              <w:rPr>
                <w:rFonts w:cstheme="minorHAnsi"/>
                <w:b/>
                <w:bCs/>
                <w:sz w:val="22"/>
              </w:rPr>
              <w:t xml:space="preserve"> 20</w:t>
            </w:r>
            <w:r w:rsidR="004A1C66" w:rsidRPr="00D82174">
              <w:rPr>
                <w:rFonts w:cstheme="minorHAnsi"/>
                <w:b/>
                <w:bCs/>
                <w:sz w:val="22"/>
              </w:rPr>
              <w:t>2</w:t>
            </w:r>
            <w:r w:rsidR="00B90ACE">
              <w:rPr>
                <w:rFonts w:cstheme="minorHAnsi"/>
                <w:b/>
                <w:bCs/>
                <w:sz w:val="22"/>
              </w:rPr>
              <w:t>5</w:t>
            </w:r>
            <w:r w:rsidRPr="00D82174">
              <w:rPr>
                <w:rFonts w:cstheme="minorHAnsi"/>
                <w:b/>
                <w:bCs/>
                <w:sz w:val="22"/>
              </w:rPr>
              <w:t xml:space="preserve">. godine </w:t>
            </w:r>
          </w:p>
        </w:tc>
      </w:tr>
      <w:tr w:rsidR="00DD6C07" w:rsidRPr="00D82174" w14:paraId="12E6312C"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67941407" w14:textId="77777777" w:rsidR="00DD6C07" w:rsidRPr="00D82174" w:rsidRDefault="00DD6C07" w:rsidP="004542D5">
            <w:pPr>
              <w:spacing w:after="0" w:line="240" w:lineRule="auto"/>
              <w:rPr>
                <w:rFonts w:cstheme="minorHAnsi"/>
                <w:bCs/>
                <w:sz w:val="22"/>
              </w:rPr>
            </w:pPr>
            <w:r w:rsidRPr="00D82174">
              <w:rPr>
                <w:rFonts w:cstheme="minorHAnsi"/>
                <w:bCs/>
                <w:sz w:val="22"/>
              </w:rPr>
              <w:t xml:space="preserve">Naziv akta za koji je provedeno savjetovanje s javnošću </w:t>
            </w:r>
          </w:p>
        </w:tc>
        <w:tc>
          <w:tcPr>
            <w:tcW w:w="5645" w:type="dxa"/>
            <w:tcBorders>
              <w:top w:val="single" w:sz="4" w:space="0" w:color="365F91"/>
              <w:left w:val="single" w:sz="4" w:space="0" w:color="365F91"/>
              <w:bottom w:val="single" w:sz="4" w:space="0" w:color="365F91"/>
              <w:right w:val="single" w:sz="4" w:space="0" w:color="365F91"/>
            </w:tcBorders>
            <w:vAlign w:val="center"/>
          </w:tcPr>
          <w:p w14:paraId="36D134DF" w14:textId="47B131EB" w:rsidR="00DD6C07" w:rsidRPr="001E684E" w:rsidRDefault="001E684E" w:rsidP="00F32E5B">
            <w:pPr>
              <w:spacing w:after="0" w:line="240" w:lineRule="auto"/>
              <w:rPr>
                <w:rFonts w:cstheme="minorHAnsi"/>
                <w:bCs/>
                <w:sz w:val="22"/>
              </w:rPr>
            </w:pPr>
            <w:r w:rsidRPr="001E684E">
              <w:rPr>
                <w:rFonts w:ascii="Calibri" w:hAnsi="Calibri" w:cs="Calibri"/>
                <w:bCs/>
                <w:sz w:val="22"/>
              </w:rPr>
              <w:t>Nacrt prijedloga Odluke o izmjeni Odluke o načinu pružanja javne usluge sakupljanja komunalnog otpada na području grada Požege</w:t>
            </w:r>
          </w:p>
        </w:tc>
      </w:tr>
      <w:tr w:rsidR="00DD6C07" w:rsidRPr="00D82174" w14:paraId="565B1E5D"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23F91684" w14:textId="77777777" w:rsidR="00DD6C07" w:rsidRPr="00D82174" w:rsidRDefault="00DD6C07" w:rsidP="004542D5">
            <w:pPr>
              <w:spacing w:after="0" w:line="240" w:lineRule="auto"/>
              <w:rPr>
                <w:rFonts w:cstheme="minorHAnsi"/>
                <w:bCs/>
                <w:sz w:val="22"/>
              </w:rPr>
            </w:pPr>
            <w:r w:rsidRPr="00D82174">
              <w:rPr>
                <w:rFonts w:cstheme="minorHAnsi"/>
                <w:bCs/>
                <w:sz w:val="22"/>
              </w:rPr>
              <w:t xml:space="preserve">Naziv tijela nadležnog za izradu nacrta / provedbu savjetovanja </w:t>
            </w:r>
          </w:p>
        </w:tc>
        <w:tc>
          <w:tcPr>
            <w:tcW w:w="5645" w:type="dxa"/>
            <w:tcBorders>
              <w:top w:val="single" w:sz="4" w:space="0" w:color="365F91"/>
              <w:left w:val="single" w:sz="4" w:space="0" w:color="365F91"/>
              <w:bottom w:val="single" w:sz="4" w:space="0" w:color="365F91"/>
              <w:right w:val="single" w:sz="4" w:space="0" w:color="365F91"/>
            </w:tcBorders>
            <w:vAlign w:val="center"/>
          </w:tcPr>
          <w:p w14:paraId="25E17BE7" w14:textId="3F5E6913" w:rsidR="00DD6C07" w:rsidRPr="001E684E" w:rsidRDefault="001E684E" w:rsidP="001E684E">
            <w:pPr>
              <w:pStyle w:val="Odlomakpopisa"/>
              <w:spacing w:after="0" w:line="240" w:lineRule="auto"/>
              <w:ind w:left="0"/>
              <w:rPr>
                <w:rFonts w:cstheme="minorHAnsi"/>
                <w:sz w:val="22"/>
              </w:rPr>
            </w:pPr>
            <w:r w:rsidRPr="001E684E">
              <w:rPr>
                <w:rFonts w:cstheme="minorHAnsi"/>
                <w:sz w:val="22"/>
              </w:rPr>
              <w:t>Upravni odjel za komunalne djelatnosti i gospodarenje</w:t>
            </w:r>
          </w:p>
        </w:tc>
      </w:tr>
      <w:tr w:rsidR="00DD6C07" w:rsidRPr="00D82174" w14:paraId="5038D337"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00A8C0A3" w14:textId="77777777" w:rsidR="00DD6C07" w:rsidRPr="00D82174" w:rsidRDefault="00DD6C07" w:rsidP="004542D5">
            <w:pPr>
              <w:spacing w:after="0" w:line="240" w:lineRule="auto"/>
              <w:rPr>
                <w:rFonts w:cstheme="minorHAnsi"/>
                <w:bCs/>
                <w:sz w:val="22"/>
              </w:rPr>
            </w:pPr>
            <w:r w:rsidRPr="00D82174">
              <w:rPr>
                <w:rFonts w:cstheme="minorHAnsi"/>
                <w:bCs/>
                <w:sz w:val="22"/>
              </w:rPr>
              <w:t>Razlozi za donošenje akta i ciljevi koji se njime žele postići uz sažetak ključnih pitanja</w:t>
            </w:r>
          </w:p>
        </w:tc>
        <w:tc>
          <w:tcPr>
            <w:tcW w:w="5645" w:type="dxa"/>
            <w:tcBorders>
              <w:top w:val="single" w:sz="4" w:space="0" w:color="365F91"/>
              <w:left w:val="single" w:sz="4" w:space="0" w:color="365F91"/>
              <w:bottom w:val="single" w:sz="4" w:space="0" w:color="365F91"/>
              <w:right w:val="single" w:sz="4" w:space="0" w:color="365F91"/>
            </w:tcBorders>
          </w:tcPr>
          <w:p w14:paraId="5AD998F6" w14:textId="77777777" w:rsidR="001E684E" w:rsidRDefault="00F64C38" w:rsidP="00A36AE5">
            <w:pPr>
              <w:spacing w:after="0" w:line="240" w:lineRule="auto"/>
              <w:rPr>
                <w:rFonts w:cstheme="minorHAnsi"/>
                <w:bCs/>
                <w:sz w:val="22"/>
              </w:rPr>
            </w:pPr>
            <w:r w:rsidRPr="00D82174">
              <w:rPr>
                <w:rFonts w:cstheme="minorHAnsi"/>
                <w:bCs/>
                <w:sz w:val="22"/>
              </w:rPr>
              <w:t xml:space="preserve">Razlozi za donošenje akta: </w:t>
            </w:r>
            <w:r w:rsidR="001E684E">
              <w:rPr>
                <w:rFonts w:cstheme="minorHAnsi"/>
                <w:bCs/>
                <w:sz w:val="22"/>
              </w:rPr>
              <w:t>Izmjena cijene komunalne usluge</w:t>
            </w:r>
          </w:p>
          <w:p w14:paraId="54BF76AE" w14:textId="2C8AE1AB" w:rsidR="00F64C38" w:rsidRPr="00D82174" w:rsidRDefault="00F64C38" w:rsidP="00A36AE5">
            <w:pPr>
              <w:spacing w:after="0" w:line="240" w:lineRule="auto"/>
              <w:rPr>
                <w:rFonts w:cstheme="minorHAnsi"/>
                <w:bCs/>
                <w:sz w:val="22"/>
              </w:rPr>
            </w:pPr>
            <w:r w:rsidRPr="00D82174">
              <w:rPr>
                <w:rFonts w:cstheme="minorHAnsi"/>
                <w:bCs/>
                <w:sz w:val="22"/>
              </w:rPr>
              <w:t xml:space="preserve">Ciljevi: </w:t>
            </w:r>
            <w:r w:rsidR="001E684E" w:rsidRPr="001E684E">
              <w:rPr>
                <w:rFonts w:cstheme="minorHAnsi"/>
                <w:bCs/>
                <w:sz w:val="22"/>
              </w:rPr>
              <w:t>uvođenj</w:t>
            </w:r>
            <w:r w:rsidR="001E684E">
              <w:rPr>
                <w:rFonts w:cstheme="minorHAnsi"/>
                <w:bCs/>
                <w:sz w:val="22"/>
              </w:rPr>
              <w:t>e</w:t>
            </w:r>
            <w:r w:rsidR="001E684E" w:rsidRPr="001E684E">
              <w:rPr>
                <w:rFonts w:cstheme="minorHAnsi"/>
                <w:bCs/>
                <w:sz w:val="22"/>
              </w:rPr>
              <w:t xml:space="preserve"> naknade za odlaganje otpada („</w:t>
            </w:r>
            <w:proofErr w:type="spellStart"/>
            <w:r w:rsidR="001E684E" w:rsidRPr="001E684E">
              <w:rPr>
                <w:rFonts w:cstheme="minorHAnsi"/>
                <w:bCs/>
                <w:sz w:val="22"/>
              </w:rPr>
              <w:t>landfill</w:t>
            </w:r>
            <w:proofErr w:type="spellEnd"/>
            <w:r w:rsidR="001E684E" w:rsidRPr="001E684E">
              <w:rPr>
                <w:rFonts w:cstheme="minorHAnsi"/>
                <w:bCs/>
                <w:sz w:val="22"/>
              </w:rPr>
              <w:t xml:space="preserve"> takse“) koja je propisana člankom 100. i Dodatkom V. Zakona o gospodarenju otpadom (Narodne novine, broj: 84/21. i 142/23.) te Uredbom o jediničnoj naknadi za odlaganje otpada (Narodne novine, broj: 137/24) koja je stupila na snagu 1. siječnja 2025. godine. Prema donesenoj Uredbi, obveznik plaćanja naknade odlaganje otpada na odlagalištu je upravitelj odlagališta. Na području obavljanja javne usluge sakupljanja komunalnog otpada upravitelj odlagališta je Komunalac Požega d.o.o. koji sakupljeni komunalni otpad s područja 8 JLS (gradovi Požega, Pleternica i Kutjevo te općine Brestovac, Čaglin, Jakšić, Kaptol i Velika) odlaže na odlagalište </w:t>
            </w:r>
            <w:proofErr w:type="spellStart"/>
            <w:r w:rsidR="001E684E" w:rsidRPr="001E684E">
              <w:rPr>
                <w:rFonts w:cstheme="minorHAnsi"/>
                <w:bCs/>
                <w:sz w:val="22"/>
              </w:rPr>
              <w:t>Vinogradine</w:t>
            </w:r>
            <w:proofErr w:type="spellEnd"/>
            <w:r w:rsidR="001E684E" w:rsidRPr="001E684E">
              <w:rPr>
                <w:rFonts w:cstheme="minorHAnsi"/>
                <w:bCs/>
                <w:sz w:val="22"/>
              </w:rPr>
              <w:t xml:space="preserve"> na adresi Novi </w:t>
            </w:r>
            <w:proofErr w:type="spellStart"/>
            <w:r w:rsidR="001E684E" w:rsidRPr="001E684E">
              <w:rPr>
                <w:rFonts w:cstheme="minorHAnsi"/>
                <w:bCs/>
                <w:sz w:val="22"/>
              </w:rPr>
              <w:t>Mihaljevci</w:t>
            </w:r>
            <w:proofErr w:type="spellEnd"/>
            <w:r w:rsidR="001E684E" w:rsidRPr="001E684E">
              <w:rPr>
                <w:rFonts w:cstheme="minorHAnsi"/>
                <w:bCs/>
                <w:sz w:val="22"/>
              </w:rPr>
              <w:t xml:space="preserve"> 150, Novi </w:t>
            </w:r>
            <w:proofErr w:type="spellStart"/>
            <w:r w:rsidR="001E684E" w:rsidRPr="001E684E">
              <w:rPr>
                <w:rFonts w:cstheme="minorHAnsi"/>
                <w:bCs/>
                <w:sz w:val="22"/>
              </w:rPr>
              <w:t>Mihaljevci</w:t>
            </w:r>
            <w:proofErr w:type="spellEnd"/>
            <w:r w:rsidR="001E684E" w:rsidRPr="001E684E">
              <w:rPr>
                <w:rFonts w:cstheme="minorHAnsi"/>
                <w:bCs/>
                <w:sz w:val="22"/>
              </w:rPr>
              <w:t xml:space="preserve">, k.č.br. 700 k.o. </w:t>
            </w:r>
            <w:proofErr w:type="spellStart"/>
            <w:r w:rsidR="001E684E" w:rsidRPr="001E684E">
              <w:rPr>
                <w:rFonts w:cstheme="minorHAnsi"/>
                <w:bCs/>
                <w:sz w:val="22"/>
              </w:rPr>
              <w:t>Mihaljevci</w:t>
            </w:r>
            <w:proofErr w:type="spellEnd"/>
            <w:r w:rsidR="001E684E" w:rsidRPr="001E684E">
              <w:rPr>
                <w:rFonts w:cstheme="minorHAnsi"/>
                <w:bCs/>
                <w:sz w:val="22"/>
              </w:rPr>
              <w:t>. Jedinična cijena naknade za odlaganje otpada za 2025. godinu iznosi 30,00 €/t, za 2026. iznosi 35,00 €/t tj. za svaku narednu godinu povećava se za 5,00 €/t te će se morati plaćati sve do zatvaranja odlagališta i početka rada centra za gospodarenje otpadom.</w:t>
            </w:r>
          </w:p>
        </w:tc>
      </w:tr>
      <w:tr w:rsidR="00DD6C07" w:rsidRPr="00D82174" w14:paraId="09BAC95F"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59"/>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2F0BD54D" w14:textId="77777777" w:rsidR="00DD6C07" w:rsidRPr="00D82174" w:rsidRDefault="00DD6C07" w:rsidP="004542D5">
            <w:pPr>
              <w:spacing w:after="0" w:line="240" w:lineRule="auto"/>
              <w:rPr>
                <w:rFonts w:cstheme="minorHAnsi"/>
                <w:bCs/>
                <w:sz w:val="22"/>
              </w:rPr>
            </w:pPr>
            <w:r w:rsidRPr="00D82174">
              <w:rPr>
                <w:rFonts w:cstheme="minorHAnsi"/>
                <w:bCs/>
                <w:sz w:val="22"/>
              </w:rPr>
              <w:t>Objava dokumenata za savjetovanje</w:t>
            </w:r>
          </w:p>
        </w:tc>
        <w:tc>
          <w:tcPr>
            <w:tcW w:w="5645" w:type="dxa"/>
            <w:tcBorders>
              <w:top w:val="single" w:sz="4" w:space="0" w:color="365F91"/>
              <w:left w:val="single" w:sz="4" w:space="0" w:color="365F91"/>
              <w:bottom w:val="single" w:sz="4" w:space="0" w:color="365F91"/>
              <w:right w:val="single" w:sz="4" w:space="0" w:color="365F91"/>
            </w:tcBorders>
            <w:vAlign w:val="center"/>
          </w:tcPr>
          <w:p w14:paraId="6B00029B" w14:textId="488C63F4" w:rsidR="00302D3B" w:rsidRPr="00D82174" w:rsidRDefault="00302D3B" w:rsidP="004A1C66">
            <w:pPr>
              <w:pStyle w:val="StandardWeb"/>
              <w:shd w:val="clear" w:color="auto" w:fill="FFFFFF"/>
              <w:spacing w:before="0" w:beforeAutospacing="0" w:after="150" w:afterAutospacing="0"/>
              <w:rPr>
                <w:rFonts w:asciiTheme="minorHAnsi" w:hAnsiTheme="minorHAnsi" w:cstheme="minorHAnsi"/>
                <w:bCs/>
                <w:sz w:val="22"/>
                <w:szCs w:val="22"/>
              </w:rPr>
            </w:pPr>
            <w:r w:rsidRPr="00D82174">
              <w:rPr>
                <w:rFonts w:asciiTheme="minorHAnsi" w:hAnsiTheme="minorHAnsi" w:cstheme="minorHAnsi"/>
                <w:bCs/>
                <w:sz w:val="22"/>
                <w:szCs w:val="22"/>
              </w:rPr>
              <w:t xml:space="preserve">-Obrazac sudjelovanja u postupku savjetovanja s javnošću </w:t>
            </w:r>
          </w:p>
          <w:p w14:paraId="5636A73E" w14:textId="67001FE1" w:rsidR="00302D3B" w:rsidRPr="00B90ACE" w:rsidRDefault="004A1C66" w:rsidP="00404F3A">
            <w:pPr>
              <w:pStyle w:val="StandardWeb"/>
              <w:shd w:val="clear" w:color="auto" w:fill="FFFFFF"/>
              <w:spacing w:before="0" w:beforeAutospacing="0" w:after="150" w:afterAutospacing="0"/>
              <w:rPr>
                <w:rFonts w:asciiTheme="minorHAnsi" w:hAnsiTheme="minorHAnsi" w:cstheme="minorHAnsi"/>
                <w:bCs/>
                <w:sz w:val="22"/>
                <w:szCs w:val="22"/>
              </w:rPr>
            </w:pPr>
            <w:r w:rsidRPr="00B90ACE">
              <w:rPr>
                <w:rFonts w:asciiTheme="minorHAnsi" w:hAnsiTheme="minorHAnsi" w:cstheme="minorHAnsi"/>
                <w:bCs/>
                <w:sz w:val="22"/>
                <w:szCs w:val="22"/>
              </w:rPr>
              <w:t>-</w:t>
            </w:r>
            <w:r w:rsidR="00B90ACE" w:rsidRPr="00B90ACE">
              <w:rPr>
                <w:rFonts w:asciiTheme="minorHAnsi" w:hAnsiTheme="minorHAnsi" w:cstheme="minorHAnsi"/>
                <w:bCs/>
                <w:sz w:val="22"/>
                <w:szCs w:val="22"/>
              </w:rPr>
              <w:t xml:space="preserve"> Nacrt prijedloga </w:t>
            </w:r>
          </w:p>
        </w:tc>
      </w:tr>
      <w:tr w:rsidR="00DD6C07" w:rsidRPr="00D82174" w14:paraId="36A1E032"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8"/>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5DCBFECD" w14:textId="77777777" w:rsidR="00DD6C07" w:rsidRPr="00D82174" w:rsidRDefault="00DD6C07" w:rsidP="004542D5">
            <w:pPr>
              <w:spacing w:after="0" w:line="240" w:lineRule="auto"/>
              <w:rPr>
                <w:rFonts w:cstheme="minorHAnsi"/>
                <w:bCs/>
                <w:sz w:val="22"/>
              </w:rPr>
            </w:pPr>
            <w:r w:rsidRPr="00D82174">
              <w:rPr>
                <w:rFonts w:cstheme="minorHAnsi"/>
                <w:bCs/>
                <w:sz w:val="22"/>
              </w:rPr>
              <w:t>Razdoblje provedbe savjetovanja</w:t>
            </w:r>
          </w:p>
        </w:tc>
        <w:tc>
          <w:tcPr>
            <w:tcW w:w="5645" w:type="dxa"/>
            <w:tcBorders>
              <w:top w:val="single" w:sz="4" w:space="0" w:color="365F91"/>
              <w:left w:val="single" w:sz="4" w:space="0" w:color="365F91"/>
              <w:right w:val="single" w:sz="4" w:space="0" w:color="365F91"/>
            </w:tcBorders>
            <w:vAlign w:val="center"/>
          </w:tcPr>
          <w:p w14:paraId="75FAEEA3" w14:textId="56E89C35" w:rsidR="00DD6C07" w:rsidRPr="00D82174" w:rsidRDefault="00DD6C07" w:rsidP="00F32E5B">
            <w:pPr>
              <w:pStyle w:val="Odlomakpopisa"/>
              <w:numPr>
                <w:ilvl w:val="0"/>
                <w:numId w:val="2"/>
              </w:numPr>
              <w:spacing w:after="0" w:line="240" w:lineRule="auto"/>
              <w:rPr>
                <w:rFonts w:cstheme="minorHAnsi"/>
                <w:bCs/>
                <w:sz w:val="22"/>
              </w:rPr>
            </w:pPr>
            <w:r w:rsidRPr="00D82174">
              <w:rPr>
                <w:rFonts w:cstheme="minorHAnsi"/>
                <w:bCs/>
                <w:sz w:val="22"/>
              </w:rPr>
              <w:t xml:space="preserve">od </w:t>
            </w:r>
            <w:r w:rsidR="001E684E">
              <w:rPr>
                <w:rFonts w:cstheme="minorHAnsi"/>
                <w:bCs/>
                <w:sz w:val="22"/>
              </w:rPr>
              <w:t>5. rujna</w:t>
            </w:r>
            <w:r w:rsidRPr="00D82174">
              <w:rPr>
                <w:rFonts w:cstheme="minorHAnsi"/>
                <w:bCs/>
                <w:sz w:val="22"/>
              </w:rPr>
              <w:t xml:space="preserve"> do </w:t>
            </w:r>
            <w:r w:rsidR="001E684E">
              <w:rPr>
                <w:rFonts w:cstheme="minorHAnsi"/>
                <w:bCs/>
                <w:sz w:val="22"/>
              </w:rPr>
              <w:t>5. listopada</w:t>
            </w:r>
            <w:r w:rsidRPr="00D82174">
              <w:rPr>
                <w:rFonts w:cstheme="minorHAnsi"/>
                <w:bCs/>
                <w:sz w:val="22"/>
              </w:rPr>
              <w:t xml:space="preserve"> 20</w:t>
            </w:r>
            <w:r w:rsidR="004A1C66" w:rsidRPr="00D82174">
              <w:rPr>
                <w:rFonts w:cstheme="minorHAnsi"/>
                <w:bCs/>
                <w:sz w:val="22"/>
              </w:rPr>
              <w:t>2</w:t>
            </w:r>
            <w:r w:rsidR="00B90ACE">
              <w:rPr>
                <w:rFonts w:cstheme="minorHAnsi"/>
                <w:bCs/>
                <w:sz w:val="22"/>
              </w:rPr>
              <w:t>5</w:t>
            </w:r>
            <w:r w:rsidRPr="00D82174">
              <w:rPr>
                <w:rFonts w:cstheme="minorHAnsi"/>
                <w:bCs/>
                <w:sz w:val="22"/>
              </w:rPr>
              <w:t xml:space="preserve">. godine </w:t>
            </w:r>
          </w:p>
        </w:tc>
      </w:tr>
      <w:tr w:rsidR="00DD6C07" w:rsidRPr="00D82174" w14:paraId="4861CC1F"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7B22B71A" w14:textId="77777777" w:rsidR="00DD6C07" w:rsidRPr="00D82174" w:rsidRDefault="00DD6C07" w:rsidP="004542D5">
            <w:pPr>
              <w:spacing w:after="0" w:line="240" w:lineRule="auto"/>
              <w:rPr>
                <w:rFonts w:cstheme="minorHAnsi"/>
                <w:bCs/>
                <w:sz w:val="22"/>
              </w:rPr>
            </w:pPr>
            <w:r w:rsidRPr="00D82174">
              <w:rPr>
                <w:rFonts w:cstheme="minorHAnsi"/>
                <w:bCs/>
                <w:sz w:val="22"/>
              </w:rPr>
              <w:t xml:space="preserve">Pregled osnovnih pokazatelja  uključenosti savjetovanja s javnošću </w:t>
            </w:r>
          </w:p>
        </w:tc>
        <w:tc>
          <w:tcPr>
            <w:tcW w:w="5645" w:type="dxa"/>
            <w:tcBorders>
              <w:top w:val="single" w:sz="4" w:space="0" w:color="365F91"/>
              <w:left w:val="single" w:sz="4" w:space="0" w:color="365F91"/>
              <w:bottom w:val="single" w:sz="4" w:space="0" w:color="365F91"/>
              <w:right w:val="single" w:sz="4" w:space="0" w:color="365F91"/>
            </w:tcBorders>
            <w:vAlign w:val="center"/>
          </w:tcPr>
          <w:p w14:paraId="7DD75195" w14:textId="2B2AEF58" w:rsidR="00DD6C07" w:rsidRPr="00D82174" w:rsidRDefault="00A334A3" w:rsidP="00D82174">
            <w:pPr>
              <w:pStyle w:val="Odlomakpopisa"/>
              <w:spacing w:after="0" w:line="240" w:lineRule="auto"/>
              <w:ind w:left="2"/>
              <w:jc w:val="center"/>
              <w:rPr>
                <w:rFonts w:cstheme="minorHAnsi"/>
                <w:bCs/>
                <w:iCs/>
                <w:sz w:val="22"/>
              </w:rPr>
            </w:pPr>
            <w:r w:rsidRPr="00D82174">
              <w:rPr>
                <w:rFonts w:cstheme="minorHAnsi"/>
                <w:bCs/>
                <w:iCs/>
                <w:sz w:val="22"/>
              </w:rPr>
              <w:t>-</w:t>
            </w:r>
          </w:p>
        </w:tc>
      </w:tr>
      <w:tr w:rsidR="00DD6C07" w:rsidRPr="00D82174" w14:paraId="3D62F180"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6AE09900" w14:textId="77777777" w:rsidR="00DD6C07" w:rsidRPr="00D82174" w:rsidRDefault="00DD6C07" w:rsidP="004542D5">
            <w:pPr>
              <w:spacing w:after="0" w:line="240" w:lineRule="auto"/>
              <w:rPr>
                <w:rFonts w:cstheme="minorHAnsi"/>
                <w:bCs/>
                <w:sz w:val="22"/>
              </w:rPr>
            </w:pPr>
            <w:r w:rsidRPr="00D82174">
              <w:rPr>
                <w:rFonts w:cstheme="minorHAnsi"/>
                <w:bCs/>
                <w:sz w:val="22"/>
              </w:rPr>
              <w:lastRenderedPageBreak/>
              <w:t xml:space="preserve">Pregled prihvaćenih i neprihvaćenih mišljenja i prijedloga s obrazloženjem razloga za neprihvaćanje </w:t>
            </w:r>
          </w:p>
        </w:tc>
        <w:tc>
          <w:tcPr>
            <w:tcW w:w="5645" w:type="dxa"/>
            <w:tcBorders>
              <w:top w:val="single" w:sz="4" w:space="0" w:color="365F91"/>
              <w:left w:val="single" w:sz="4" w:space="0" w:color="365F91"/>
              <w:bottom w:val="single" w:sz="4" w:space="0" w:color="365F91"/>
              <w:right w:val="single" w:sz="4" w:space="0" w:color="365F91"/>
            </w:tcBorders>
            <w:vAlign w:val="center"/>
          </w:tcPr>
          <w:p w14:paraId="455A89BD" w14:textId="43A50EE7" w:rsidR="002A5818" w:rsidRPr="00D82174" w:rsidRDefault="00233309" w:rsidP="00D82174">
            <w:pPr>
              <w:pStyle w:val="Odlomakpopisa"/>
              <w:spacing w:after="0" w:line="240" w:lineRule="auto"/>
              <w:ind w:left="2"/>
              <w:jc w:val="center"/>
              <w:rPr>
                <w:rFonts w:cstheme="minorHAnsi"/>
                <w:bCs/>
                <w:sz w:val="22"/>
              </w:rPr>
            </w:pPr>
            <w:r w:rsidRPr="00D82174">
              <w:rPr>
                <w:rFonts w:cstheme="minorHAnsi"/>
                <w:bCs/>
                <w:sz w:val="22"/>
              </w:rPr>
              <w:t>-</w:t>
            </w:r>
          </w:p>
        </w:tc>
      </w:tr>
      <w:tr w:rsidR="00DD6C07" w:rsidRPr="00D82174" w14:paraId="6247F319"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17D78D2D" w14:textId="58E09D80" w:rsidR="00DD6C07" w:rsidRPr="00D82174" w:rsidRDefault="00DD6C07" w:rsidP="004542D5">
            <w:pPr>
              <w:spacing w:after="0" w:line="240" w:lineRule="auto"/>
              <w:rPr>
                <w:rFonts w:cstheme="minorHAnsi"/>
                <w:bCs/>
                <w:sz w:val="22"/>
              </w:rPr>
            </w:pPr>
            <w:r w:rsidRPr="00D82174">
              <w:rPr>
                <w:rFonts w:cstheme="minorHAnsi"/>
                <w:bCs/>
                <w:sz w:val="22"/>
              </w:rPr>
              <w:t xml:space="preserve">Ostali oblici savjetovanja s javnošću </w:t>
            </w:r>
          </w:p>
        </w:tc>
        <w:tc>
          <w:tcPr>
            <w:tcW w:w="5645" w:type="dxa"/>
            <w:tcBorders>
              <w:top w:val="single" w:sz="4" w:space="0" w:color="365F91"/>
              <w:left w:val="single" w:sz="4" w:space="0" w:color="365F91"/>
              <w:bottom w:val="single" w:sz="4" w:space="0" w:color="365F91"/>
              <w:right w:val="single" w:sz="4" w:space="0" w:color="365F91"/>
            </w:tcBorders>
            <w:vAlign w:val="center"/>
          </w:tcPr>
          <w:p w14:paraId="434FAA60" w14:textId="1A836E26" w:rsidR="00DD6C07" w:rsidRPr="00D82174" w:rsidRDefault="001847E6" w:rsidP="00D82174">
            <w:pPr>
              <w:spacing w:after="0" w:line="240" w:lineRule="auto"/>
              <w:ind w:left="2"/>
              <w:jc w:val="center"/>
              <w:rPr>
                <w:rFonts w:cstheme="minorHAnsi"/>
                <w:bCs/>
                <w:sz w:val="22"/>
              </w:rPr>
            </w:pPr>
            <w:r w:rsidRPr="00D82174">
              <w:rPr>
                <w:rFonts w:cstheme="minorHAnsi"/>
                <w:bCs/>
                <w:sz w:val="22"/>
              </w:rPr>
              <w:t>-</w:t>
            </w:r>
          </w:p>
        </w:tc>
      </w:tr>
      <w:tr w:rsidR="00DD6C07" w:rsidRPr="00D82174" w14:paraId="06349DE6" w14:textId="77777777" w:rsidTr="00D8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9"/>
          <w:jc w:val="center"/>
        </w:trPr>
        <w:tc>
          <w:tcPr>
            <w:tcW w:w="3994" w:type="dxa"/>
            <w:gridSpan w:val="2"/>
            <w:tcBorders>
              <w:top w:val="single" w:sz="4" w:space="0" w:color="365F91"/>
              <w:left w:val="single" w:sz="4" w:space="0" w:color="365F91"/>
              <w:bottom w:val="single" w:sz="4" w:space="0" w:color="365F91"/>
              <w:right w:val="single" w:sz="4" w:space="0" w:color="365F91"/>
            </w:tcBorders>
            <w:vAlign w:val="center"/>
          </w:tcPr>
          <w:p w14:paraId="7D45F832" w14:textId="77777777" w:rsidR="00DD6C07" w:rsidRPr="00D82174" w:rsidRDefault="00DD6C07" w:rsidP="004542D5">
            <w:pPr>
              <w:spacing w:after="0" w:line="240" w:lineRule="auto"/>
              <w:rPr>
                <w:rFonts w:cstheme="minorHAnsi"/>
                <w:bCs/>
                <w:sz w:val="22"/>
              </w:rPr>
            </w:pPr>
            <w:r w:rsidRPr="00D82174">
              <w:rPr>
                <w:rFonts w:cstheme="minorHAnsi"/>
                <w:bCs/>
                <w:sz w:val="22"/>
              </w:rPr>
              <w:t>Troškovi provedenog savjetovanja</w:t>
            </w:r>
          </w:p>
        </w:tc>
        <w:tc>
          <w:tcPr>
            <w:tcW w:w="5645" w:type="dxa"/>
            <w:tcBorders>
              <w:top w:val="single" w:sz="4" w:space="0" w:color="365F91"/>
              <w:left w:val="single" w:sz="4" w:space="0" w:color="365F91"/>
              <w:bottom w:val="single" w:sz="4" w:space="0" w:color="365F91"/>
              <w:right w:val="single" w:sz="4" w:space="0" w:color="365F91"/>
            </w:tcBorders>
            <w:vAlign w:val="center"/>
          </w:tcPr>
          <w:p w14:paraId="004F8882" w14:textId="088EEAC9" w:rsidR="00DD6C07" w:rsidRPr="00D82174" w:rsidRDefault="00A334A3" w:rsidP="00D82174">
            <w:pPr>
              <w:pStyle w:val="Odlomakpopisa"/>
              <w:spacing w:after="0" w:line="240" w:lineRule="auto"/>
              <w:ind w:left="2"/>
              <w:jc w:val="center"/>
              <w:rPr>
                <w:rFonts w:cstheme="minorHAnsi"/>
                <w:bCs/>
                <w:sz w:val="22"/>
              </w:rPr>
            </w:pPr>
            <w:r w:rsidRPr="00D82174">
              <w:rPr>
                <w:rFonts w:cstheme="minorHAnsi"/>
                <w:bCs/>
                <w:iCs/>
                <w:sz w:val="22"/>
              </w:rPr>
              <w:t>-</w:t>
            </w:r>
            <w:r w:rsidR="001E684E">
              <w:rPr>
                <w:rFonts w:cstheme="minorHAnsi"/>
                <w:bCs/>
                <w:iCs/>
                <w:sz w:val="22"/>
              </w:rPr>
              <w:t xml:space="preserve">Za provedbu javnog savjetovanja nisu bila potrebna financijska </w:t>
            </w:r>
            <w:r w:rsidR="007131DF">
              <w:rPr>
                <w:rFonts w:cstheme="minorHAnsi"/>
                <w:bCs/>
                <w:iCs/>
                <w:sz w:val="22"/>
              </w:rPr>
              <w:t>sredstva</w:t>
            </w:r>
          </w:p>
        </w:tc>
      </w:tr>
    </w:tbl>
    <w:p w14:paraId="2B9A3CA6" w14:textId="476F468B" w:rsidR="00A334A3" w:rsidRPr="00D82174" w:rsidRDefault="00A334A3" w:rsidP="00DD6C07">
      <w:pPr>
        <w:spacing w:after="0" w:line="240" w:lineRule="auto"/>
        <w:rPr>
          <w:rFonts w:eastAsia="Calibri" w:cstheme="minorHAnsi"/>
          <w:b/>
          <w:bCs/>
          <w:sz w:val="22"/>
        </w:rPr>
      </w:pPr>
      <w:bookmarkStart w:id="0" w:name="_Toc468978618"/>
    </w:p>
    <w:p w14:paraId="12F21F56" w14:textId="0BF3835A" w:rsidR="00A334A3" w:rsidRPr="00D82174" w:rsidRDefault="00A334A3">
      <w:pPr>
        <w:spacing w:line="259" w:lineRule="auto"/>
        <w:rPr>
          <w:rFonts w:eastAsia="Calibri" w:cstheme="minorHAnsi"/>
          <w:b/>
          <w:bCs/>
          <w:sz w:val="22"/>
        </w:rPr>
      </w:pPr>
    </w:p>
    <w:p w14:paraId="57158814" w14:textId="77777777" w:rsidR="00DD6C07" w:rsidRPr="00D82174" w:rsidRDefault="00DD6C07" w:rsidP="00DD6C07">
      <w:pPr>
        <w:spacing w:after="0" w:line="240" w:lineRule="auto"/>
        <w:rPr>
          <w:rFonts w:eastAsia="Calibri" w:cstheme="minorHAnsi"/>
          <w:b/>
          <w:bCs/>
          <w:sz w:val="22"/>
        </w:rPr>
      </w:pPr>
      <w:r w:rsidRPr="00D82174">
        <w:rPr>
          <w:rFonts w:eastAsia="Calibri" w:cstheme="minorHAnsi"/>
          <w:b/>
          <w:bCs/>
          <w:sz w:val="22"/>
        </w:rPr>
        <w:t>Pregled prihvaćenih i neprihvaćenih primjedbi</w:t>
      </w:r>
      <w:bookmarkEnd w:id="0"/>
    </w:p>
    <w:tbl>
      <w:tblPr>
        <w:tblW w:w="9639"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686"/>
        <w:gridCol w:w="1701"/>
        <w:gridCol w:w="2126"/>
        <w:gridCol w:w="2410"/>
        <w:gridCol w:w="2716"/>
      </w:tblGrid>
      <w:tr w:rsidR="00DD6C07" w:rsidRPr="00D82174" w14:paraId="0EF5D95A" w14:textId="77777777" w:rsidTr="00D82174">
        <w:trPr>
          <w:jc w:val="center"/>
        </w:trPr>
        <w:tc>
          <w:tcPr>
            <w:tcW w:w="686" w:type="dxa"/>
            <w:vAlign w:val="center"/>
          </w:tcPr>
          <w:p w14:paraId="70123DC5" w14:textId="20859DC1" w:rsidR="00DD6C07" w:rsidRPr="00D82174" w:rsidRDefault="00DD6C07" w:rsidP="004542D5">
            <w:pPr>
              <w:spacing w:after="0" w:line="240" w:lineRule="auto"/>
              <w:jc w:val="center"/>
              <w:rPr>
                <w:rFonts w:cstheme="minorHAnsi"/>
                <w:sz w:val="22"/>
              </w:rPr>
            </w:pPr>
            <w:r w:rsidRPr="00D82174">
              <w:rPr>
                <w:rFonts w:cstheme="minorHAnsi"/>
                <w:sz w:val="22"/>
              </w:rPr>
              <w:t>Red</w:t>
            </w:r>
            <w:r w:rsidR="00A334A3" w:rsidRPr="00D82174">
              <w:rPr>
                <w:rFonts w:cstheme="minorHAnsi"/>
                <w:sz w:val="22"/>
              </w:rPr>
              <w:t>.</w:t>
            </w:r>
            <w:r w:rsidRPr="00D82174">
              <w:rPr>
                <w:rFonts w:cstheme="minorHAnsi"/>
                <w:sz w:val="22"/>
              </w:rPr>
              <w:t xml:space="preserve"> broj</w:t>
            </w:r>
          </w:p>
        </w:tc>
        <w:tc>
          <w:tcPr>
            <w:tcW w:w="1701" w:type="dxa"/>
            <w:vAlign w:val="center"/>
          </w:tcPr>
          <w:p w14:paraId="06D89047" w14:textId="77777777" w:rsidR="00DD6C07" w:rsidRPr="00D82174" w:rsidRDefault="00DD6C07" w:rsidP="004542D5">
            <w:pPr>
              <w:spacing w:after="0" w:line="240" w:lineRule="auto"/>
              <w:jc w:val="center"/>
              <w:rPr>
                <w:rFonts w:cstheme="minorHAnsi"/>
                <w:sz w:val="22"/>
              </w:rPr>
            </w:pPr>
            <w:r w:rsidRPr="00D82174">
              <w:rPr>
                <w:rFonts w:cstheme="minorHAnsi"/>
                <w:sz w:val="22"/>
              </w:rPr>
              <w:t>Sudionik savjetovanja (ime i prezime pojedinca, naziv organizacije)</w:t>
            </w:r>
          </w:p>
        </w:tc>
        <w:tc>
          <w:tcPr>
            <w:tcW w:w="2126" w:type="dxa"/>
            <w:vAlign w:val="center"/>
          </w:tcPr>
          <w:p w14:paraId="3D23A1E0" w14:textId="77777777" w:rsidR="00DD6C07" w:rsidRPr="00D82174" w:rsidRDefault="00DD6C07" w:rsidP="004542D5">
            <w:pPr>
              <w:spacing w:after="0" w:line="240" w:lineRule="auto"/>
              <w:jc w:val="center"/>
              <w:rPr>
                <w:rFonts w:cstheme="minorHAnsi"/>
                <w:sz w:val="22"/>
              </w:rPr>
            </w:pPr>
            <w:r w:rsidRPr="00D82174">
              <w:rPr>
                <w:rFonts w:cstheme="minorHAnsi"/>
                <w:sz w:val="22"/>
              </w:rPr>
              <w:t>Članak ili drugi dio nacrta na koji se odnosi prijedlog ili mišljenje</w:t>
            </w:r>
          </w:p>
        </w:tc>
        <w:tc>
          <w:tcPr>
            <w:tcW w:w="2410" w:type="dxa"/>
            <w:vAlign w:val="center"/>
          </w:tcPr>
          <w:p w14:paraId="1B05DD0D" w14:textId="77777777" w:rsidR="00DD6C07" w:rsidRPr="00D82174" w:rsidRDefault="00DD6C07" w:rsidP="004542D5">
            <w:pPr>
              <w:spacing w:after="0" w:line="240" w:lineRule="auto"/>
              <w:jc w:val="center"/>
              <w:rPr>
                <w:rFonts w:cstheme="minorHAnsi"/>
                <w:sz w:val="22"/>
              </w:rPr>
            </w:pPr>
            <w:r w:rsidRPr="00D82174">
              <w:rPr>
                <w:rFonts w:cstheme="minorHAnsi"/>
                <w:sz w:val="22"/>
              </w:rPr>
              <w:t>Tekst zaprimljenog prijedloga ili mišljenja</w:t>
            </w:r>
          </w:p>
        </w:tc>
        <w:tc>
          <w:tcPr>
            <w:tcW w:w="2716" w:type="dxa"/>
            <w:vAlign w:val="center"/>
          </w:tcPr>
          <w:p w14:paraId="4AFE0AEC" w14:textId="212912E7" w:rsidR="00DD6C07" w:rsidRPr="00D82174" w:rsidRDefault="00DD6C07" w:rsidP="004542D5">
            <w:pPr>
              <w:spacing w:after="0" w:line="240" w:lineRule="auto"/>
              <w:jc w:val="center"/>
              <w:rPr>
                <w:rFonts w:cstheme="minorHAnsi"/>
                <w:sz w:val="22"/>
              </w:rPr>
            </w:pPr>
            <w:r w:rsidRPr="00D82174">
              <w:rPr>
                <w:rFonts w:cstheme="minorHAnsi"/>
                <w:sz w:val="22"/>
              </w:rPr>
              <w:t xml:space="preserve">Status prijedloga ili mišljenja (prihvaćanje/neprihvaćanje s obrazloženjem) </w:t>
            </w:r>
          </w:p>
        </w:tc>
      </w:tr>
      <w:tr w:rsidR="00D82174" w:rsidRPr="00D82174" w14:paraId="1126E6D4" w14:textId="77777777" w:rsidTr="00D82174">
        <w:trPr>
          <w:trHeight w:val="645"/>
          <w:jc w:val="center"/>
        </w:trPr>
        <w:tc>
          <w:tcPr>
            <w:tcW w:w="686" w:type="dxa"/>
            <w:vAlign w:val="center"/>
          </w:tcPr>
          <w:p w14:paraId="4AD1B8A8" w14:textId="45A7DCD1" w:rsidR="00D82174" w:rsidRPr="00D82174" w:rsidRDefault="00D82174" w:rsidP="00D82174">
            <w:pPr>
              <w:spacing w:after="0" w:line="240" w:lineRule="auto"/>
              <w:jc w:val="center"/>
              <w:rPr>
                <w:rFonts w:cstheme="minorHAnsi"/>
                <w:sz w:val="22"/>
              </w:rPr>
            </w:pPr>
            <w:r w:rsidRPr="00524759">
              <w:rPr>
                <w:rFonts w:cstheme="minorHAnsi"/>
                <w:sz w:val="22"/>
              </w:rPr>
              <w:t>-</w:t>
            </w:r>
          </w:p>
        </w:tc>
        <w:tc>
          <w:tcPr>
            <w:tcW w:w="1701" w:type="dxa"/>
            <w:vAlign w:val="center"/>
          </w:tcPr>
          <w:p w14:paraId="6AA5D31B" w14:textId="53CF0DE0" w:rsidR="00D82174" w:rsidRPr="00D82174" w:rsidRDefault="00D82174" w:rsidP="00D82174">
            <w:pPr>
              <w:spacing w:after="0" w:line="240" w:lineRule="auto"/>
              <w:jc w:val="center"/>
              <w:rPr>
                <w:rFonts w:cstheme="minorHAnsi"/>
                <w:sz w:val="22"/>
              </w:rPr>
            </w:pPr>
            <w:r>
              <w:rPr>
                <w:rFonts w:cstheme="minorHAnsi"/>
                <w:sz w:val="22"/>
              </w:rPr>
              <w:t>-</w:t>
            </w:r>
          </w:p>
        </w:tc>
        <w:tc>
          <w:tcPr>
            <w:tcW w:w="2126" w:type="dxa"/>
            <w:vAlign w:val="center"/>
          </w:tcPr>
          <w:p w14:paraId="76A096FC" w14:textId="49541CF2" w:rsidR="00D82174" w:rsidRPr="00D82174" w:rsidRDefault="00D82174" w:rsidP="00D82174">
            <w:pPr>
              <w:spacing w:after="0" w:line="240" w:lineRule="auto"/>
              <w:jc w:val="center"/>
              <w:rPr>
                <w:rFonts w:cstheme="minorHAnsi"/>
                <w:sz w:val="22"/>
              </w:rPr>
            </w:pPr>
            <w:r>
              <w:rPr>
                <w:rFonts w:cstheme="minorHAnsi"/>
                <w:sz w:val="22"/>
              </w:rPr>
              <w:t>-</w:t>
            </w:r>
          </w:p>
        </w:tc>
        <w:tc>
          <w:tcPr>
            <w:tcW w:w="2410" w:type="dxa"/>
            <w:vAlign w:val="center"/>
          </w:tcPr>
          <w:p w14:paraId="09CD3C22" w14:textId="3AE75033" w:rsidR="00D82174" w:rsidRPr="00D82174" w:rsidRDefault="00D82174" w:rsidP="00D82174">
            <w:pPr>
              <w:spacing w:after="0" w:line="240" w:lineRule="auto"/>
              <w:jc w:val="center"/>
              <w:rPr>
                <w:rFonts w:cstheme="minorHAnsi"/>
                <w:sz w:val="22"/>
              </w:rPr>
            </w:pPr>
            <w:r>
              <w:rPr>
                <w:rFonts w:cstheme="minorHAnsi"/>
                <w:sz w:val="22"/>
              </w:rPr>
              <w:t>-</w:t>
            </w:r>
          </w:p>
        </w:tc>
        <w:tc>
          <w:tcPr>
            <w:tcW w:w="2716" w:type="dxa"/>
            <w:vAlign w:val="center"/>
          </w:tcPr>
          <w:p w14:paraId="21889E20" w14:textId="56FC77A9" w:rsidR="00D82174" w:rsidRPr="00D82174" w:rsidRDefault="00D82174" w:rsidP="00D82174">
            <w:pPr>
              <w:spacing w:after="0" w:line="240" w:lineRule="auto"/>
              <w:jc w:val="center"/>
              <w:rPr>
                <w:rFonts w:cstheme="minorHAnsi"/>
                <w:sz w:val="22"/>
              </w:rPr>
            </w:pPr>
            <w:r>
              <w:rPr>
                <w:rFonts w:cstheme="minorHAnsi"/>
                <w:sz w:val="22"/>
              </w:rPr>
              <w:t>-</w:t>
            </w:r>
          </w:p>
        </w:tc>
      </w:tr>
    </w:tbl>
    <w:p w14:paraId="673539C5" w14:textId="77777777" w:rsidR="00233309" w:rsidRPr="00D82174" w:rsidRDefault="00233309" w:rsidP="00803D33">
      <w:pPr>
        <w:spacing w:after="0"/>
        <w:jc w:val="both"/>
        <w:rPr>
          <w:rFonts w:cstheme="minorHAnsi"/>
          <w:sz w:val="22"/>
        </w:rPr>
      </w:pPr>
    </w:p>
    <w:p w14:paraId="279E18EF" w14:textId="7797ACF0" w:rsidR="00B90ACE" w:rsidRPr="001E684E" w:rsidRDefault="00233309" w:rsidP="00B90ACE">
      <w:pPr>
        <w:spacing w:after="0"/>
        <w:jc w:val="both"/>
        <w:rPr>
          <w:rFonts w:cstheme="minorHAnsi"/>
          <w:sz w:val="22"/>
        </w:rPr>
      </w:pPr>
      <w:r w:rsidRPr="00D82174">
        <w:rPr>
          <w:rFonts w:cstheme="minorHAnsi"/>
          <w:sz w:val="22"/>
        </w:rPr>
        <w:t xml:space="preserve">U razdoblju provedbe savjetovanja od </w:t>
      </w:r>
      <w:r w:rsidR="001E684E" w:rsidRPr="001E684E">
        <w:rPr>
          <w:rFonts w:cstheme="minorHAnsi"/>
          <w:sz w:val="22"/>
        </w:rPr>
        <w:t xml:space="preserve">5. rujna do 5. listopada 2025. godine </w:t>
      </w:r>
      <w:r w:rsidRPr="00D82174">
        <w:rPr>
          <w:rFonts w:cstheme="minorHAnsi"/>
          <w:sz w:val="22"/>
        </w:rPr>
        <w:t xml:space="preserve">nije zaprimljen niti jedan prijedlog za </w:t>
      </w:r>
      <w:r w:rsidRPr="001E684E">
        <w:rPr>
          <w:rFonts w:cstheme="minorHAnsi"/>
          <w:sz w:val="22"/>
        </w:rPr>
        <w:t xml:space="preserve">izmjenu </w:t>
      </w:r>
      <w:r w:rsidR="001E684E" w:rsidRPr="001E684E">
        <w:rPr>
          <w:rFonts w:cstheme="minorHAnsi"/>
          <w:sz w:val="22"/>
        </w:rPr>
        <w:t>Nacrt</w:t>
      </w:r>
      <w:r w:rsidR="001E684E" w:rsidRPr="001E684E">
        <w:rPr>
          <w:rFonts w:cstheme="minorHAnsi"/>
          <w:sz w:val="22"/>
        </w:rPr>
        <w:t>a</w:t>
      </w:r>
      <w:r w:rsidR="001E684E" w:rsidRPr="001E684E">
        <w:rPr>
          <w:rFonts w:cstheme="minorHAnsi"/>
          <w:sz w:val="22"/>
        </w:rPr>
        <w:t xml:space="preserve"> prijedloga Odluke o izmjeni Odluke o načinu pružanja javne usluge sakupljanja komunalnog otpada na području grada Požege</w:t>
      </w:r>
      <w:r w:rsidR="001E684E" w:rsidRPr="001E684E">
        <w:rPr>
          <w:rFonts w:cstheme="minorHAnsi"/>
          <w:sz w:val="22"/>
        </w:rPr>
        <w:t xml:space="preserve"> </w:t>
      </w:r>
    </w:p>
    <w:p w14:paraId="3D41A4C9" w14:textId="6DC35375" w:rsidR="00FC3197" w:rsidRPr="001E684E" w:rsidRDefault="00803D33" w:rsidP="00B90ACE">
      <w:pPr>
        <w:spacing w:after="0"/>
        <w:jc w:val="both"/>
        <w:rPr>
          <w:rFonts w:cstheme="minorHAnsi"/>
          <w:sz w:val="22"/>
        </w:rPr>
      </w:pPr>
      <w:r w:rsidRPr="001E684E">
        <w:rPr>
          <w:rFonts w:cstheme="minorHAnsi"/>
          <w:sz w:val="22"/>
        </w:rPr>
        <w:t xml:space="preserve">Požega, </w:t>
      </w:r>
      <w:r w:rsidR="00FB5021">
        <w:rPr>
          <w:rFonts w:cstheme="minorHAnsi"/>
          <w:sz w:val="22"/>
        </w:rPr>
        <w:t>7. listopada</w:t>
      </w:r>
      <w:r w:rsidRPr="001E684E">
        <w:rPr>
          <w:rFonts w:cstheme="minorHAnsi"/>
          <w:sz w:val="22"/>
        </w:rPr>
        <w:t xml:space="preserve"> 20</w:t>
      </w:r>
      <w:r w:rsidR="00E94A03" w:rsidRPr="001E684E">
        <w:rPr>
          <w:rFonts w:cstheme="minorHAnsi"/>
          <w:sz w:val="22"/>
        </w:rPr>
        <w:t>2</w:t>
      </w:r>
      <w:r w:rsidR="00B90ACE" w:rsidRPr="001E684E">
        <w:rPr>
          <w:rFonts w:cstheme="minorHAnsi"/>
          <w:sz w:val="22"/>
        </w:rPr>
        <w:t>5</w:t>
      </w:r>
      <w:r w:rsidRPr="001E684E">
        <w:rPr>
          <w:rFonts w:cstheme="minorHAnsi"/>
          <w:sz w:val="22"/>
        </w:rPr>
        <w:t>. godine</w:t>
      </w:r>
    </w:p>
    <w:sectPr w:rsidR="00FC3197" w:rsidRPr="001E684E" w:rsidSect="00A334A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BC86B" w14:textId="77777777" w:rsidR="00782386" w:rsidRDefault="00782386" w:rsidP="00D43F6F">
      <w:pPr>
        <w:spacing w:after="0" w:line="240" w:lineRule="auto"/>
      </w:pPr>
      <w:r>
        <w:separator/>
      </w:r>
    </w:p>
  </w:endnote>
  <w:endnote w:type="continuationSeparator" w:id="0">
    <w:p w14:paraId="6D191BAC" w14:textId="77777777" w:rsidR="00782386" w:rsidRDefault="00782386" w:rsidP="00D4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E178" w14:textId="4BBB40B4" w:rsidR="00D43F6F" w:rsidRDefault="00D43F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8483" w14:textId="77777777" w:rsidR="00782386" w:rsidRDefault="00782386" w:rsidP="00D43F6F">
      <w:pPr>
        <w:spacing w:after="0" w:line="240" w:lineRule="auto"/>
      </w:pPr>
      <w:r>
        <w:separator/>
      </w:r>
    </w:p>
  </w:footnote>
  <w:footnote w:type="continuationSeparator" w:id="0">
    <w:p w14:paraId="11712848" w14:textId="77777777" w:rsidR="00782386" w:rsidRDefault="00782386" w:rsidP="00D4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A91F" w14:textId="0931D49F" w:rsidR="00D82174" w:rsidRPr="00D82174" w:rsidRDefault="00D82174" w:rsidP="00D82174">
    <w:pPr>
      <w:pStyle w:val="Zaglavlje"/>
      <w:jc w:val="right"/>
      <w:rPr>
        <w:i/>
        <w:iCs/>
      </w:rPr>
    </w:pPr>
    <w:r w:rsidRPr="00D82174">
      <w:rPr>
        <w:rFonts w:cstheme="minorHAnsi"/>
        <w:i/>
        <w:iCs/>
        <w:sz w:val="22"/>
      </w:rPr>
      <w:t>Obrazac Izvješća o savjetovanju s javnošću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F5A"/>
    <w:multiLevelType w:val="hybridMultilevel"/>
    <w:tmpl w:val="2DC8D010"/>
    <w:lvl w:ilvl="0" w:tplc="010EDB1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C36704"/>
    <w:multiLevelType w:val="hybridMultilevel"/>
    <w:tmpl w:val="D4929A56"/>
    <w:lvl w:ilvl="0" w:tplc="496E91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752060"/>
    <w:multiLevelType w:val="hybridMultilevel"/>
    <w:tmpl w:val="2EAC0406"/>
    <w:lvl w:ilvl="0" w:tplc="7EE6DE34">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3B364B9E"/>
    <w:multiLevelType w:val="hybridMultilevel"/>
    <w:tmpl w:val="1C7297C4"/>
    <w:lvl w:ilvl="0" w:tplc="5DD2BFCA">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2364FE"/>
    <w:multiLevelType w:val="hybridMultilevel"/>
    <w:tmpl w:val="275676FE"/>
    <w:lvl w:ilvl="0" w:tplc="46D6DFE6">
      <w:numFmt w:val="bullet"/>
      <w:lvlText w:val="-"/>
      <w:lvlJc w:val="left"/>
      <w:pPr>
        <w:ind w:left="765" w:hanging="360"/>
      </w:pPr>
      <w:rPr>
        <w:rFonts w:ascii="Times New Roman" w:eastAsiaTheme="minorHAnsi"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65B923EA"/>
    <w:multiLevelType w:val="hybridMultilevel"/>
    <w:tmpl w:val="15FE28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0110214"/>
    <w:multiLevelType w:val="hybridMultilevel"/>
    <w:tmpl w:val="818ECD86"/>
    <w:lvl w:ilvl="0" w:tplc="53B0181E">
      <w:start w:val="1"/>
      <w:numFmt w:val="decimal"/>
      <w:lvlText w:val="%1."/>
      <w:lvlJc w:val="left"/>
      <w:pPr>
        <w:ind w:left="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20293762">
    <w:abstractNumId w:val="0"/>
  </w:num>
  <w:num w:numId="2" w16cid:durableId="1386686002">
    <w:abstractNumId w:val="3"/>
  </w:num>
  <w:num w:numId="3" w16cid:durableId="867990392">
    <w:abstractNumId w:val="6"/>
  </w:num>
  <w:num w:numId="4" w16cid:durableId="162018139">
    <w:abstractNumId w:val="1"/>
  </w:num>
  <w:num w:numId="5" w16cid:durableId="1853186015">
    <w:abstractNumId w:val="4"/>
  </w:num>
  <w:num w:numId="6" w16cid:durableId="1799373866">
    <w:abstractNumId w:val="2"/>
  </w:num>
  <w:num w:numId="7" w16cid:durableId="1684473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07"/>
    <w:rsid w:val="000312C7"/>
    <w:rsid w:val="0007014D"/>
    <w:rsid w:val="000D672C"/>
    <w:rsid w:val="000F34C9"/>
    <w:rsid w:val="00172019"/>
    <w:rsid w:val="001847E6"/>
    <w:rsid w:val="001D0781"/>
    <w:rsid w:val="001E4D8F"/>
    <w:rsid w:val="001E684E"/>
    <w:rsid w:val="00205EDD"/>
    <w:rsid w:val="00233309"/>
    <w:rsid w:val="00266E92"/>
    <w:rsid w:val="002735EC"/>
    <w:rsid w:val="002747C5"/>
    <w:rsid w:val="002A5818"/>
    <w:rsid w:val="002D7C16"/>
    <w:rsid w:val="002F1CED"/>
    <w:rsid w:val="002F5381"/>
    <w:rsid w:val="00300A87"/>
    <w:rsid w:val="00302D3B"/>
    <w:rsid w:val="003E51DA"/>
    <w:rsid w:val="00404F3A"/>
    <w:rsid w:val="004055CD"/>
    <w:rsid w:val="004232B9"/>
    <w:rsid w:val="0046559D"/>
    <w:rsid w:val="00482B6B"/>
    <w:rsid w:val="004A1C66"/>
    <w:rsid w:val="004A70C8"/>
    <w:rsid w:val="004C7CCF"/>
    <w:rsid w:val="004F4548"/>
    <w:rsid w:val="0054371A"/>
    <w:rsid w:val="00583A40"/>
    <w:rsid w:val="00595A53"/>
    <w:rsid w:val="005E2F8A"/>
    <w:rsid w:val="00642F53"/>
    <w:rsid w:val="00675CFE"/>
    <w:rsid w:val="006C72E0"/>
    <w:rsid w:val="006F4205"/>
    <w:rsid w:val="007131DF"/>
    <w:rsid w:val="0071539E"/>
    <w:rsid w:val="00742030"/>
    <w:rsid w:val="00753AED"/>
    <w:rsid w:val="00782386"/>
    <w:rsid w:val="007C311D"/>
    <w:rsid w:val="007C4DE3"/>
    <w:rsid w:val="007C58F0"/>
    <w:rsid w:val="00803D33"/>
    <w:rsid w:val="00837632"/>
    <w:rsid w:val="00863918"/>
    <w:rsid w:val="00866AF9"/>
    <w:rsid w:val="008737DE"/>
    <w:rsid w:val="00904BF2"/>
    <w:rsid w:val="00916CAB"/>
    <w:rsid w:val="00936084"/>
    <w:rsid w:val="00957A0E"/>
    <w:rsid w:val="00957A78"/>
    <w:rsid w:val="009A2F18"/>
    <w:rsid w:val="009B0C68"/>
    <w:rsid w:val="009B1E3A"/>
    <w:rsid w:val="00A125B9"/>
    <w:rsid w:val="00A334A3"/>
    <w:rsid w:val="00A36AE5"/>
    <w:rsid w:val="00AC0825"/>
    <w:rsid w:val="00AF7D7C"/>
    <w:rsid w:val="00B0693B"/>
    <w:rsid w:val="00B339A3"/>
    <w:rsid w:val="00B66798"/>
    <w:rsid w:val="00B90ACE"/>
    <w:rsid w:val="00BD32D1"/>
    <w:rsid w:val="00BD3FA9"/>
    <w:rsid w:val="00BE1AB2"/>
    <w:rsid w:val="00C104B8"/>
    <w:rsid w:val="00C2460E"/>
    <w:rsid w:val="00C46F36"/>
    <w:rsid w:val="00CA1BB3"/>
    <w:rsid w:val="00CC4C34"/>
    <w:rsid w:val="00CD063E"/>
    <w:rsid w:val="00CE4BD3"/>
    <w:rsid w:val="00D24791"/>
    <w:rsid w:val="00D407E9"/>
    <w:rsid w:val="00D43F6F"/>
    <w:rsid w:val="00D4594E"/>
    <w:rsid w:val="00D82174"/>
    <w:rsid w:val="00DA0436"/>
    <w:rsid w:val="00DA65EB"/>
    <w:rsid w:val="00DD6C07"/>
    <w:rsid w:val="00DE6BAF"/>
    <w:rsid w:val="00DE77C3"/>
    <w:rsid w:val="00E41BFE"/>
    <w:rsid w:val="00E94A03"/>
    <w:rsid w:val="00EA5282"/>
    <w:rsid w:val="00EF4E14"/>
    <w:rsid w:val="00F16EA9"/>
    <w:rsid w:val="00F32E5B"/>
    <w:rsid w:val="00F610BF"/>
    <w:rsid w:val="00F64C38"/>
    <w:rsid w:val="00FB5021"/>
    <w:rsid w:val="00FB6BFF"/>
    <w:rsid w:val="00FC3197"/>
    <w:rsid w:val="00FF17B5"/>
    <w:rsid w:val="00FF7C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F84E"/>
  <w15:chartTrackingRefBased/>
  <w15:docId w15:val="{11D9137E-4720-4DF1-A951-63B338D9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07"/>
    <w:pPr>
      <w:spacing w:line="254" w:lineRule="auto"/>
    </w:pPr>
    <w:rPr>
      <w:sz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dlomakpopisaChar">
    <w:name w:val="Odlomak popisa Char"/>
    <w:basedOn w:val="Zadanifontodlomka"/>
    <w:link w:val="Odlomakpopisa"/>
    <w:uiPriority w:val="34"/>
    <w:locked/>
    <w:rsid w:val="00DD6C07"/>
    <w:rPr>
      <w:sz w:val="24"/>
    </w:rPr>
  </w:style>
  <w:style w:type="paragraph" w:styleId="Odlomakpopisa">
    <w:name w:val="List Paragraph"/>
    <w:basedOn w:val="Normal"/>
    <w:link w:val="OdlomakpopisaChar"/>
    <w:uiPriority w:val="34"/>
    <w:qFormat/>
    <w:rsid w:val="00DD6C07"/>
    <w:pPr>
      <w:spacing w:line="256" w:lineRule="auto"/>
      <w:ind w:left="720"/>
      <w:contextualSpacing/>
    </w:pPr>
  </w:style>
  <w:style w:type="paragraph" w:styleId="Opisslike">
    <w:name w:val="caption"/>
    <w:basedOn w:val="Normal"/>
    <w:next w:val="Normal"/>
    <w:uiPriority w:val="35"/>
    <w:unhideWhenUsed/>
    <w:qFormat/>
    <w:rsid w:val="00DD6C07"/>
    <w:pPr>
      <w:spacing w:after="200" w:line="240" w:lineRule="auto"/>
    </w:pPr>
    <w:rPr>
      <w:i/>
      <w:iCs/>
      <w:color w:val="44546A" w:themeColor="text2"/>
      <w:sz w:val="18"/>
      <w:szCs w:val="18"/>
    </w:rPr>
  </w:style>
  <w:style w:type="paragraph" w:styleId="StandardWeb">
    <w:name w:val="Normal (Web)"/>
    <w:basedOn w:val="Normal"/>
    <w:uiPriority w:val="99"/>
    <w:unhideWhenUsed/>
    <w:rsid w:val="00DD6C07"/>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wffiletext">
    <w:name w:val="wf_file_text"/>
    <w:basedOn w:val="Zadanifontodlomka"/>
    <w:rsid w:val="00DD6C07"/>
  </w:style>
  <w:style w:type="paragraph" w:styleId="Tekstbalonia">
    <w:name w:val="Balloon Text"/>
    <w:basedOn w:val="Normal"/>
    <w:link w:val="TekstbaloniaChar"/>
    <w:uiPriority w:val="99"/>
    <w:semiHidden/>
    <w:unhideWhenUsed/>
    <w:rsid w:val="00302D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02D3B"/>
    <w:rPr>
      <w:rFonts w:ascii="Segoe UI" w:hAnsi="Segoe UI" w:cs="Segoe UI"/>
      <w:sz w:val="18"/>
      <w:szCs w:val="18"/>
    </w:rPr>
  </w:style>
  <w:style w:type="paragraph" w:styleId="Zaglavlje">
    <w:name w:val="header"/>
    <w:basedOn w:val="Normal"/>
    <w:link w:val="ZaglavljeChar"/>
    <w:uiPriority w:val="99"/>
    <w:unhideWhenUsed/>
    <w:rsid w:val="00D43F6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3F6F"/>
    <w:rPr>
      <w:sz w:val="24"/>
    </w:rPr>
  </w:style>
  <w:style w:type="paragraph" w:styleId="Podnoje">
    <w:name w:val="footer"/>
    <w:basedOn w:val="Normal"/>
    <w:link w:val="PodnojeChar"/>
    <w:uiPriority w:val="99"/>
    <w:unhideWhenUsed/>
    <w:rsid w:val="00D43F6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3F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1960">
      <w:bodyDiv w:val="1"/>
      <w:marLeft w:val="0"/>
      <w:marRight w:val="0"/>
      <w:marTop w:val="0"/>
      <w:marBottom w:val="0"/>
      <w:divBdr>
        <w:top w:val="none" w:sz="0" w:space="0" w:color="auto"/>
        <w:left w:val="none" w:sz="0" w:space="0" w:color="auto"/>
        <w:bottom w:val="none" w:sz="0" w:space="0" w:color="auto"/>
        <w:right w:val="none" w:sz="0" w:space="0" w:color="auto"/>
      </w:divBdr>
    </w:div>
    <w:div w:id="410808285">
      <w:bodyDiv w:val="1"/>
      <w:marLeft w:val="0"/>
      <w:marRight w:val="0"/>
      <w:marTop w:val="0"/>
      <w:marBottom w:val="0"/>
      <w:divBdr>
        <w:top w:val="none" w:sz="0" w:space="0" w:color="auto"/>
        <w:left w:val="none" w:sz="0" w:space="0" w:color="auto"/>
        <w:bottom w:val="none" w:sz="0" w:space="0" w:color="auto"/>
        <w:right w:val="none" w:sz="0" w:space="0" w:color="auto"/>
      </w:divBdr>
    </w:div>
    <w:div w:id="615792434">
      <w:bodyDiv w:val="1"/>
      <w:marLeft w:val="0"/>
      <w:marRight w:val="0"/>
      <w:marTop w:val="0"/>
      <w:marBottom w:val="0"/>
      <w:divBdr>
        <w:top w:val="none" w:sz="0" w:space="0" w:color="auto"/>
        <w:left w:val="none" w:sz="0" w:space="0" w:color="auto"/>
        <w:bottom w:val="none" w:sz="0" w:space="0" w:color="auto"/>
        <w:right w:val="none" w:sz="0" w:space="0" w:color="auto"/>
      </w:divBdr>
    </w:div>
    <w:div w:id="1165242709">
      <w:bodyDiv w:val="1"/>
      <w:marLeft w:val="0"/>
      <w:marRight w:val="0"/>
      <w:marTop w:val="0"/>
      <w:marBottom w:val="0"/>
      <w:divBdr>
        <w:top w:val="none" w:sz="0" w:space="0" w:color="auto"/>
        <w:left w:val="none" w:sz="0" w:space="0" w:color="auto"/>
        <w:bottom w:val="none" w:sz="0" w:space="0" w:color="auto"/>
        <w:right w:val="none" w:sz="0" w:space="0" w:color="auto"/>
      </w:divBdr>
    </w:div>
    <w:div w:id="1323506186">
      <w:bodyDiv w:val="1"/>
      <w:marLeft w:val="0"/>
      <w:marRight w:val="0"/>
      <w:marTop w:val="0"/>
      <w:marBottom w:val="0"/>
      <w:divBdr>
        <w:top w:val="none" w:sz="0" w:space="0" w:color="auto"/>
        <w:left w:val="none" w:sz="0" w:space="0" w:color="auto"/>
        <w:bottom w:val="none" w:sz="0" w:space="0" w:color="auto"/>
        <w:right w:val="none" w:sz="0" w:space="0" w:color="auto"/>
      </w:divBdr>
    </w:div>
    <w:div w:id="1453013368">
      <w:bodyDiv w:val="1"/>
      <w:marLeft w:val="0"/>
      <w:marRight w:val="0"/>
      <w:marTop w:val="0"/>
      <w:marBottom w:val="0"/>
      <w:divBdr>
        <w:top w:val="none" w:sz="0" w:space="0" w:color="auto"/>
        <w:left w:val="none" w:sz="0" w:space="0" w:color="auto"/>
        <w:bottom w:val="none" w:sz="0" w:space="0" w:color="auto"/>
        <w:right w:val="none" w:sz="0" w:space="0" w:color="auto"/>
      </w:divBdr>
    </w:div>
    <w:div w:id="1568539557">
      <w:bodyDiv w:val="1"/>
      <w:marLeft w:val="0"/>
      <w:marRight w:val="0"/>
      <w:marTop w:val="0"/>
      <w:marBottom w:val="0"/>
      <w:divBdr>
        <w:top w:val="none" w:sz="0" w:space="0" w:color="auto"/>
        <w:left w:val="none" w:sz="0" w:space="0" w:color="auto"/>
        <w:bottom w:val="none" w:sz="0" w:space="0" w:color="auto"/>
        <w:right w:val="none" w:sz="0" w:space="0" w:color="auto"/>
      </w:divBdr>
    </w:div>
    <w:div w:id="15829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5026-0CE9-4E27-9CC0-87FA30D6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2611</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.KO 04</cp:lastModifiedBy>
  <cp:revision>2</cp:revision>
  <cp:lastPrinted>2021-11-15T12:43:00Z</cp:lastPrinted>
  <dcterms:created xsi:type="dcterms:W3CDTF">2025-10-07T07:19:00Z</dcterms:created>
  <dcterms:modified xsi:type="dcterms:W3CDTF">2025-10-07T07:19:00Z</dcterms:modified>
</cp:coreProperties>
</file>