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475DAD" w14:paraId="6D247DA6" w14:textId="77777777" w:rsidTr="00344E3E">
        <w:trPr>
          <w:trHeight w:val="1262"/>
        </w:trPr>
        <w:tc>
          <w:tcPr>
            <w:tcW w:w="4576" w:type="dxa"/>
          </w:tcPr>
          <w:p w14:paraId="783039C0" w14:textId="77777777" w:rsidR="00475DAD" w:rsidRDefault="00344E3E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+*yqw*yDe*ydg*sgx*ugc*dzi*lro*wst*yxo*pwa*zew*-</w:t>
            </w:r>
            <w:r>
              <w:rPr>
                <w:rFonts w:ascii="PDF417x" w:eastAsia="Times New Roman" w:hAnsi="PDF417x" w:cs="Times New Roman"/>
              </w:rPr>
              <w:br/>
              <w:t>+*eDs*lyd*lyd*lyd*lyd*llj*ydu*oFy*Ahi*ldy*zfE*-</w:t>
            </w:r>
            <w:r>
              <w:rPr>
                <w:rFonts w:ascii="PDF417x" w:eastAsia="Times New Roman" w:hAnsi="PDF417x" w:cs="Times New Roman"/>
              </w:rPr>
              <w:br/>
              <w:t>+*ftw*prA*fDA*Ari*lCg*Djb*oiy*llB*uBb*qcE*onA*-</w:t>
            </w:r>
            <w:r>
              <w:rPr>
                <w:rFonts w:ascii="PDF417x" w:eastAsia="Times New Roman" w:hAnsi="PDF417x" w:cs="Times New Roman"/>
              </w:rPr>
              <w:br/>
              <w:t>+*ftA*zcr*aFz*bju*ydD*jCy*wat*fwg*zcr*hyE*uws*-</w:t>
            </w:r>
            <w:r>
              <w:rPr>
                <w:rFonts w:ascii="PDF417x" w:eastAsia="Times New Roman" w:hAnsi="PDF417x" w:cs="Times New Roman"/>
              </w:rPr>
              <w:br/>
              <w:t>+*xjq*fjk*acb*Awn*jEk*ozo*xru*Bwe*boE*lwn*uzq*-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0CE3FB82" w14:textId="77777777" w:rsidR="00475DAD" w:rsidRDefault="00475DAD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21346918" w14:textId="77777777" w:rsidR="00475DAD" w:rsidRDefault="00475DAD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650D8CBC" w14:textId="77777777" w:rsidR="0090433E" w:rsidRPr="00920830" w:rsidRDefault="00344E3E" w:rsidP="0090433E">
      <w:pPr>
        <w:ind w:left="142" w:right="5386" w:firstLine="1276"/>
        <w:rPr>
          <w:b/>
          <w:sz w:val="20"/>
          <w:szCs w:val="20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90433E">
        <w:rPr>
          <w:b/>
          <w:sz w:val="20"/>
          <w:szCs w:val="20"/>
        </w:rPr>
        <w:t xml:space="preserve">     </w:t>
      </w:r>
      <w:r w:rsidR="0090433E" w:rsidRPr="00920830">
        <w:rPr>
          <w:b/>
          <w:sz w:val="20"/>
          <w:szCs w:val="20"/>
        </w:rPr>
        <w:drawing>
          <wp:inline distT="0" distB="0" distL="0" distR="0" wp14:anchorId="59D0E5D4" wp14:editId="3E0DD04E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D056D" w14:textId="77777777" w:rsidR="0090433E" w:rsidRPr="00920830" w:rsidRDefault="0090433E" w:rsidP="0090433E">
      <w:pPr>
        <w:ind w:right="5386"/>
        <w:rPr>
          <w:sz w:val="20"/>
          <w:szCs w:val="20"/>
        </w:rPr>
      </w:pPr>
      <w:r w:rsidRPr="00920830">
        <w:rPr>
          <w:sz w:val="20"/>
          <w:szCs w:val="20"/>
        </w:rPr>
        <w:t xml:space="preserve">R  E  P  U  B  L  I  K  A  </w:t>
      </w:r>
      <w:r>
        <w:rPr>
          <w:sz w:val="20"/>
          <w:szCs w:val="20"/>
        </w:rPr>
        <w:t xml:space="preserve"> </w:t>
      </w:r>
      <w:r w:rsidRPr="009208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920830">
        <w:rPr>
          <w:sz w:val="20"/>
          <w:szCs w:val="20"/>
        </w:rPr>
        <w:t xml:space="preserve"> H  R  V  A  T  S  K  A</w:t>
      </w:r>
    </w:p>
    <w:p w14:paraId="61260D79" w14:textId="77777777" w:rsidR="0090433E" w:rsidRPr="00920830" w:rsidRDefault="0090433E" w:rsidP="0090433E">
      <w:pPr>
        <w:ind w:right="5386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20830">
        <w:rPr>
          <w:sz w:val="20"/>
          <w:szCs w:val="20"/>
        </w:rPr>
        <w:t>POŽEŠKO-SLAVONSKA ŽUPANIJA</w:t>
      </w:r>
    </w:p>
    <w:p w14:paraId="0BDFC3DC" w14:textId="77777777" w:rsidR="0090433E" w:rsidRPr="00920830" w:rsidRDefault="0090433E" w:rsidP="0090433E">
      <w:pPr>
        <w:ind w:right="5386" w:firstLine="1276"/>
        <w:rPr>
          <w:sz w:val="20"/>
          <w:szCs w:val="20"/>
        </w:rPr>
      </w:pPr>
      <w:r w:rsidRPr="00920830">
        <w:rPr>
          <w:rFonts w:eastAsia="Times New Roman" w:cs="Times New Roman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FD1575" wp14:editId="322CEA2B">
            <wp:simplePos x="0" y="0"/>
            <wp:positionH relativeFrom="column">
              <wp:posOffset>26035</wp:posOffset>
            </wp:positionH>
            <wp:positionV relativeFrom="paragraph">
              <wp:posOffset>42252</wp:posOffset>
            </wp:positionV>
            <wp:extent cx="325755" cy="323215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  </w:t>
      </w:r>
      <w:r w:rsidRPr="00920830">
        <w:rPr>
          <w:sz w:val="20"/>
          <w:szCs w:val="20"/>
        </w:rPr>
        <w:t>GRAD POŽEGA</w:t>
      </w:r>
    </w:p>
    <w:p w14:paraId="22698DCA" w14:textId="77777777" w:rsidR="0090433E" w:rsidRPr="00EA18BD" w:rsidRDefault="0090433E" w:rsidP="0090433E">
      <w:pPr>
        <w:ind w:right="4394"/>
        <w:jc w:val="both"/>
        <w:rPr>
          <w:rFonts w:cstheme="minorHAnsi"/>
          <w:bCs/>
          <w:sz w:val="18"/>
          <w:szCs w:val="18"/>
        </w:rPr>
      </w:pPr>
      <w:r w:rsidRPr="00920830">
        <w:rPr>
          <w:rFonts w:cstheme="minorHAnsi"/>
          <w:bCs/>
          <w:sz w:val="20"/>
          <w:szCs w:val="20"/>
        </w:rPr>
        <w:t xml:space="preserve">             </w:t>
      </w:r>
      <w:r w:rsidRPr="00EA18BD">
        <w:rPr>
          <w:rFonts w:cstheme="minorHAnsi"/>
          <w:bCs/>
          <w:sz w:val="18"/>
          <w:szCs w:val="18"/>
        </w:rPr>
        <w:t>Upravni odjel za imovinsko-pravne poslove</w:t>
      </w:r>
    </w:p>
    <w:p w14:paraId="46714112" w14:textId="0909C832" w:rsidR="0090433E" w:rsidRPr="00EA18BD" w:rsidRDefault="0090433E" w:rsidP="0090433E">
      <w:pPr>
        <w:ind w:right="4394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20"/>
          <w:szCs w:val="20"/>
        </w:rPr>
        <w:t xml:space="preserve">                     </w:t>
      </w:r>
      <w:r w:rsidRPr="00EA18BD">
        <w:rPr>
          <w:rFonts w:cstheme="minorHAnsi"/>
          <w:bCs/>
          <w:sz w:val="16"/>
          <w:szCs w:val="16"/>
        </w:rPr>
        <w:t xml:space="preserve">Povjerenstvo za provedbu javnog </w:t>
      </w:r>
    </w:p>
    <w:p w14:paraId="01DA1C58" w14:textId="5793031E" w:rsidR="0090433E" w:rsidRPr="00920830" w:rsidRDefault="0090433E" w:rsidP="0090433E">
      <w:pPr>
        <w:jc w:val="both"/>
        <w:rPr>
          <w:rFonts w:cstheme="minorHAnsi"/>
          <w:bCs/>
          <w:sz w:val="20"/>
          <w:szCs w:val="20"/>
        </w:rPr>
      </w:pPr>
      <w:r w:rsidRPr="00EA18BD">
        <w:rPr>
          <w:rFonts w:cstheme="minorHAnsi"/>
          <w:bCs/>
          <w:sz w:val="16"/>
          <w:szCs w:val="16"/>
        </w:rPr>
        <w:t xml:space="preserve">                    </w:t>
      </w:r>
      <w:r>
        <w:rPr>
          <w:rFonts w:cstheme="minorHAnsi"/>
          <w:bCs/>
          <w:sz w:val="16"/>
          <w:szCs w:val="16"/>
        </w:rPr>
        <w:t xml:space="preserve">         </w:t>
      </w:r>
      <w:r w:rsidRPr="00EA18BD">
        <w:rPr>
          <w:rFonts w:cstheme="minorHAnsi"/>
          <w:bCs/>
          <w:sz w:val="16"/>
          <w:szCs w:val="16"/>
        </w:rPr>
        <w:t>natječaja za prijam vježbenika</w:t>
      </w:r>
    </w:p>
    <w:p w14:paraId="277E166A" w14:textId="77777777" w:rsidR="0090433E" w:rsidRPr="00920830" w:rsidRDefault="0090433E" w:rsidP="0090433E">
      <w:pPr>
        <w:jc w:val="both"/>
        <w:rPr>
          <w:rFonts w:eastAsia="Times New Roman" w:cs="Times New Roman"/>
          <w:sz w:val="20"/>
          <w:szCs w:val="20"/>
        </w:rPr>
      </w:pPr>
    </w:p>
    <w:p w14:paraId="2B2EAE10" w14:textId="77777777" w:rsidR="0090433E" w:rsidRPr="00920830" w:rsidRDefault="0090433E" w:rsidP="0090433E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920830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KLASA: 112-01/24-02/</w:t>
      </w:r>
      <w: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18</w:t>
      </w:r>
    </w:p>
    <w:p w14:paraId="38D86638" w14:textId="77777777" w:rsidR="0090433E" w:rsidRPr="00920830" w:rsidRDefault="0090433E" w:rsidP="0090433E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920830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URBROJ: 2177-1-0</w:t>
      </w:r>
      <w: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6</w:t>
      </w:r>
      <w:r w:rsidRPr="00920830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>/01-24-3</w:t>
      </w:r>
    </w:p>
    <w:p w14:paraId="60D633FB" w14:textId="2F626424" w:rsidR="0090433E" w:rsidRPr="00920830" w:rsidRDefault="0090433E" w:rsidP="0090433E">
      <w:pPr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</w:pPr>
      <w:r w:rsidRPr="00920830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Požega, </w:t>
      </w:r>
      <w:r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10. </w:t>
      </w:r>
      <w:r w:rsidR="009A76F3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>travnja</w:t>
      </w:r>
      <w:r w:rsidRPr="00920830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hr-HR"/>
        </w:rPr>
        <w:t xml:space="preserve"> 2024.</w:t>
      </w:r>
    </w:p>
    <w:p w14:paraId="14950285" w14:textId="77777777" w:rsidR="0090433E" w:rsidRPr="003C0C9C" w:rsidRDefault="0090433E" w:rsidP="0090433E">
      <w:pPr>
        <w:ind w:left="142" w:right="50" w:hanging="142"/>
        <w:rPr>
          <w:rFonts w:cstheme="minorHAnsi"/>
          <w:bCs/>
          <w:sz w:val="20"/>
          <w:szCs w:val="20"/>
        </w:rPr>
      </w:pPr>
    </w:p>
    <w:p w14:paraId="338E7618" w14:textId="16DADF4B" w:rsidR="0090433E" w:rsidRPr="00B81E07" w:rsidRDefault="0090433E" w:rsidP="0090433E">
      <w:pPr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 xml:space="preserve">Na temelju članka 20. stavka 4. </w:t>
      </w:r>
      <w:r>
        <w:rPr>
          <w:rFonts w:cstheme="minorHAnsi"/>
          <w:bCs/>
          <w:sz w:val="20"/>
          <w:szCs w:val="20"/>
        </w:rPr>
        <w:t xml:space="preserve">podstavka 2. i 3. </w:t>
      </w:r>
      <w:r w:rsidRPr="003C0C9C">
        <w:rPr>
          <w:rFonts w:cstheme="minorHAnsi"/>
          <w:bCs/>
          <w:sz w:val="20"/>
          <w:szCs w:val="20"/>
        </w:rPr>
        <w:t xml:space="preserve">i članka 22. Zakona o službenicima i namještenicima u lokalnoj i područnoj (regionalnoj) samoupravi (Narodne novine, broj: 86/08., </w:t>
      </w:r>
      <w:r w:rsidRPr="003C0C9C">
        <w:rPr>
          <w:rFonts w:eastAsia="Arial Unicode MS" w:cstheme="minorHAnsi"/>
          <w:bCs/>
          <w:sz w:val="20"/>
          <w:szCs w:val="20"/>
        </w:rPr>
        <w:t xml:space="preserve">61/11., 4/18. i 112/19.) </w:t>
      </w:r>
      <w:bookmarkStart w:id="0" w:name="_Hlk153432359"/>
      <w:r w:rsidRPr="00B81E07">
        <w:rPr>
          <w:rFonts w:eastAsia="Arial Unicode MS" w:cstheme="minorHAnsi"/>
          <w:bCs/>
          <w:sz w:val="20"/>
          <w:szCs w:val="20"/>
        </w:rPr>
        <w:t xml:space="preserve">i Rješenja </w:t>
      </w:r>
      <w:r w:rsidRPr="00B81E07">
        <w:rPr>
          <w:rFonts w:cstheme="minorHAnsi"/>
          <w:bCs/>
          <w:sz w:val="20"/>
          <w:szCs w:val="20"/>
        </w:rPr>
        <w:t>o  osnivanju i imenovanju Povjerenstva za provedbu javnog natječaja za prijam vježbenika</w:t>
      </w:r>
      <w:r>
        <w:rPr>
          <w:rFonts w:cstheme="minorHAnsi"/>
          <w:bCs/>
          <w:sz w:val="20"/>
          <w:szCs w:val="20"/>
        </w:rPr>
        <w:t xml:space="preserve"> u Upravni odjel za imovinsko-pravne poslove, KLASA:112-01/24-02/16, URBROJ:2177-1-06/01-24-1 od 9. travnja 2024. godine, </w:t>
      </w:r>
      <w:r w:rsidRPr="00B81E07">
        <w:rPr>
          <w:rFonts w:cstheme="minorHAnsi"/>
          <w:bCs/>
          <w:sz w:val="20"/>
          <w:szCs w:val="20"/>
        </w:rPr>
        <w:t>objavljuje se sljedeća</w:t>
      </w:r>
    </w:p>
    <w:bookmarkEnd w:id="0"/>
    <w:p w14:paraId="7B553F05" w14:textId="77777777" w:rsidR="0090433E" w:rsidRDefault="0090433E" w:rsidP="0090433E">
      <w:pPr>
        <w:ind w:left="142" w:hanging="142"/>
        <w:rPr>
          <w:rFonts w:cstheme="minorHAnsi"/>
          <w:bCs/>
          <w:sz w:val="20"/>
          <w:szCs w:val="20"/>
        </w:rPr>
      </w:pPr>
    </w:p>
    <w:p w14:paraId="105FADE3" w14:textId="77777777" w:rsidR="0090433E" w:rsidRPr="003C0C9C" w:rsidRDefault="0090433E" w:rsidP="0090433E">
      <w:pPr>
        <w:ind w:left="142" w:hanging="142"/>
        <w:rPr>
          <w:rFonts w:cstheme="minorHAnsi"/>
          <w:bCs/>
          <w:sz w:val="20"/>
          <w:szCs w:val="20"/>
        </w:rPr>
      </w:pPr>
    </w:p>
    <w:p w14:paraId="419E95BC" w14:textId="77777777" w:rsidR="0090433E" w:rsidRPr="0055082E" w:rsidRDefault="0090433E" w:rsidP="0090433E">
      <w:pPr>
        <w:ind w:left="142" w:hanging="142"/>
        <w:jc w:val="center"/>
        <w:rPr>
          <w:rFonts w:cstheme="minorHAnsi"/>
          <w:b/>
          <w:sz w:val="24"/>
          <w:szCs w:val="24"/>
        </w:rPr>
      </w:pPr>
      <w:r w:rsidRPr="0055082E">
        <w:rPr>
          <w:rFonts w:cstheme="minorHAnsi"/>
          <w:b/>
          <w:sz w:val="24"/>
          <w:szCs w:val="24"/>
        </w:rPr>
        <w:t>LISTA KANDIDATA I POZIV</w:t>
      </w:r>
    </w:p>
    <w:p w14:paraId="7BE336F1" w14:textId="77777777" w:rsidR="0090433E" w:rsidRPr="003C0C9C" w:rsidRDefault="0090433E" w:rsidP="0090433E">
      <w:pPr>
        <w:jc w:val="center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 prethodnu provjeru znanja i sposobnosti (pisano testiranje) kandidata prijavljenih na javni natječaj za prijam</w:t>
      </w:r>
      <w:r>
        <w:rPr>
          <w:rFonts w:cstheme="minorHAnsi"/>
          <w:bCs/>
          <w:sz w:val="20"/>
          <w:szCs w:val="20"/>
        </w:rPr>
        <w:t xml:space="preserve"> vježbenika u Upravni odjel za imovinsko-pravne poslove  </w:t>
      </w:r>
    </w:p>
    <w:p w14:paraId="56BFC019" w14:textId="77777777" w:rsidR="0090433E" w:rsidRDefault="0090433E" w:rsidP="0090433E">
      <w:pPr>
        <w:tabs>
          <w:tab w:val="num" w:pos="0"/>
        </w:tabs>
        <w:ind w:left="142" w:hanging="142"/>
        <w:jc w:val="center"/>
        <w:rPr>
          <w:rFonts w:cstheme="minorHAnsi"/>
          <w:bCs/>
          <w:sz w:val="20"/>
          <w:szCs w:val="20"/>
        </w:rPr>
      </w:pPr>
    </w:p>
    <w:p w14:paraId="1539655D" w14:textId="77777777" w:rsidR="0090433E" w:rsidRPr="00FB7568" w:rsidRDefault="0090433E" w:rsidP="0090433E">
      <w:pPr>
        <w:tabs>
          <w:tab w:val="num" w:pos="0"/>
        </w:tabs>
        <w:ind w:left="142" w:hanging="142"/>
        <w:rPr>
          <w:rFonts w:cstheme="minorHAnsi"/>
          <w:bCs/>
          <w:sz w:val="20"/>
          <w:szCs w:val="20"/>
        </w:rPr>
      </w:pPr>
    </w:p>
    <w:p w14:paraId="55F251F0" w14:textId="15C3355D" w:rsidR="0090433E" w:rsidRPr="000427D5" w:rsidRDefault="0090433E" w:rsidP="0090433E">
      <w:pPr>
        <w:pStyle w:val="tekst"/>
        <w:spacing w:before="0" w:after="0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427D5">
        <w:rPr>
          <w:rFonts w:asciiTheme="minorHAnsi" w:hAnsiTheme="minorHAnsi" w:cstheme="minorHAnsi"/>
          <w:bCs/>
          <w:sz w:val="20"/>
          <w:szCs w:val="20"/>
        </w:rPr>
        <w:t>I.  Javni natječaj za prijam vježbenika</w:t>
      </w:r>
      <w:r w:rsidRPr="000427D5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 radi osposobljavanja za poslove </w:t>
      </w:r>
      <w:r w:rsidRPr="000427D5">
        <w:rPr>
          <w:rFonts w:asciiTheme="minorHAnsi" w:hAnsiTheme="minorHAnsi" w:cstheme="minorHAnsi"/>
          <w:bCs/>
          <w:sz w:val="20"/>
          <w:szCs w:val="20"/>
        </w:rPr>
        <w:t xml:space="preserve">Višeg stručnog suradnika (2) za </w:t>
      </w:r>
      <w:r>
        <w:rPr>
          <w:rFonts w:asciiTheme="minorHAnsi" w:hAnsiTheme="minorHAnsi" w:cstheme="minorHAnsi"/>
          <w:bCs/>
          <w:sz w:val="20"/>
          <w:szCs w:val="20"/>
        </w:rPr>
        <w:t>provedbu ITU mehanizama</w:t>
      </w:r>
      <w:r w:rsidR="00D575EA"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427D5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u Upravnom odjelu za </w:t>
      </w:r>
      <w:r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imovinsko-pravne poslove, u Odsjeku za provedbu ITU  mehanizma (PT), </w:t>
      </w:r>
      <w:r w:rsidRPr="000427D5">
        <w:rPr>
          <w:rFonts w:asciiTheme="minorHAnsi" w:hAnsiTheme="minorHAnsi" w:cstheme="minorHAnsi"/>
          <w:bCs/>
          <w:sz w:val="20"/>
          <w:szCs w:val="20"/>
        </w:rPr>
        <w:t xml:space="preserve">objavljen je u Narodnim novinama, broj: </w:t>
      </w:r>
      <w:r>
        <w:rPr>
          <w:rFonts w:asciiTheme="minorHAnsi" w:hAnsiTheme="minorHAnsi" w:cstheme="minorHAnsi"/>
          <w:bCs/>
          <w:sz w:val="20"/>
          <w:szCs w:val="20"/>
        </w:rPr>
        <w:t>35/24.</w:t>
      </w:r>
      <w:r w:rsidRPr="000427D5">
        <w:rPr>
          <w:rFonts w:asciiTheme="minorHAnsi" w:hAnsiTheme="minorHAnsi" w:cstheme="minorHAnsi"/>
          <w:bCs/>
          <w:sz w:val="20"/>
          <w:szCs w:val="20"/>
        </w:rPr>
        <w:t xml:space="preserve"> od 2</w:t>
      </w:r>
      <w:r>
        <w:rPr>
          <w:rFonts w:asciiTheme="minorHAnsi" w:hAnsiTheme="minorHAnsi" w:cstheme="minorHAnsi"/>
          <w:bCs/>
          <w:sz w:val="20"/>
          <w:szCs w:val="20"/>
        </w:rPr>
        <w:t xml:space="preserve">2. ožujka </w:t>
      </w:r>
      <w:r w:rsidRPr="000427D5">
        <w:rPr>
          <w:rFonts w:asciiTheme="minorHAnsi" w:hAnsiTheme="minorHAnsi" w:cstheme="minorHAnsi"/>
          <w:bCs/>
          <w:sz w:val="20"/>
          <w:szCs w:val="20"/>
        </w:rPr>
        <w:t>202</w:t>
      </w:r>
      <w:r>
        <w:rPr>
          <w:rFonts w:asciiTheme="minorHAnsi" w:hAnsiTheme="minorHAnsi" w:cstheme="minorHAnsi"/>
          <w:bCs/>
          <w:sz w:val="20"/>
          <w:szCs w:val="20"/>
        </w:rPr>
        <w:t xml:space="preserve">4. </w:t>
      </w:r>
      <w:r w:rsidRPr="000427D5">
        <w:rPr>
          <w:rFonts w:asciiTheme="minorHAnsi" w:hAnsiTheme="minorHAnsi" w:cstheme="minorHAnsi"/>
          <w:bCs/>
          <w:sz w:val="20"/>
          <w:szCs w:val="20"/>
        </w:rPr>
        <w:t>godine, na Hrvatskom zavodu za zapošljavanje, Područni ured Požega, te na oglasnoj ploči i na službenoj internetskoj stranici Grada Požege.</w:t>
      </w:r>
    </w:p>
    <w:p w14:paraId="4C3E4405" w14:textId="77777777" w:rsidR="0090433E" w:rsidRPr="000427D5" w:rsidRDefault="0090433E" w:rsidP="0090433E">
      <w:pPr>
        <w:tabs>
          <w:tab w:val="num" w:pos="0"/>
        </w:tabs>
        <w:ind w:left="142" w:hanging="142"/>
        <w:jc w:val="both"/>
        <w:rPr>
          <w:rFonts w:cstheme="minorHAnsi"/>
          <w:bCs/>
          <w:sz w:val="20"/>
          <w:szCs w:val="20"/>
        </w:rPr>
      </w:pPr>
    </w:p>
    <w:p w14:paraId="0BC459DF" w14:textId="77777777" w:rsidR="0090433E" w:rsidRPr="000427D5" w:rsidRDefault="0090433E" w:rsidP="0090433E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 w:rsidRPr="000427D5">
        <w:rPr>
          <w:rFonts w:cstheme="minorHAnsi"/>
          <w:bCs/>
          <w:sz w:val="20"/>
          <w:szCs w:val="20"/>
        </w:rPr>
        <w:tab/>
        <w:t>II.  Povjerenstvo za provedbu javnog natječaja za prijam vježbenika (u nastavku teksta: Povjerenstvo), utvrdilo je sljedeću:</w:t>
      </w:r>
    </w:p>
    <w:p w14:paraId="06B882A0" w14:textId="77777777" w:rsidR="0090433E" w:rsidRPr="003C0C9C" w:rsidRDefault="0090433E" w:rsidP="0090433E">
      <w:pPr>
        <w:ind w:left="142" w:hanging="142"/>
        <w:jc w:val="both"/>
        <w:rPr>
          <w:rFonts w:cstheme="minorHAnsi"/>
          <w:bCs/>
          <w:sz w:val="20"/>
          <w:szCs w:val="20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827"/>
      </w:tblGrid>
      <w:tr w:rsidR="0090433E" w:rsidRPr="003C0C9C" w14:paraId="383F6E13" w14:textId="77777777" w:rsidTr="009F737C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6F77F9F5" w14:textId="77777777" w:rsidR="0090433E" w:rsidRPr="0055082E" w:rsidRDefault="0090433E" w:rsidP="009F737C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2E">
              <w:rPr>
                <w:rFonts w:asciiTheme="minorHAnsi" w:hAnsiTheme="minorHAnsi" w:cstheme="minorHAnsi"/>
                <w:b/>
                <w:sz w:val="20"/>
                <w:szCs w:val="20"/>
              </w:rPr>
              <w:t>LISTU KANDIDATA</w:t>
            </w:r>
          </w:p>
          <w:p w14:paraId="68BD10EE" w14:textId="77777777" w:rsidR="0090433E" w:rsidRPr="003C0C9C" w:rsidRDefault="0090433E" w:rsidP="009F737C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C0C9C">
              <w:rPr>
                <w:rFonts w:asciiTheme="minorHAnsi" w:hAnsiTheme="minorHAnsi" w:cstheme="minorHAnsi"/>
                <w:bCs/>
                <w:sz w:val="20"/>
                <w:szCs w:val="20"/>
              </w:rPr>
              <w:t>koji ispunjavaju formalne uvjete propisane javnim natječajem</w:t>
            </w:r>
          </w:p>
        </w:tc>
      </w:tr>
      <w:tr w:rsidR="0090433E" w:rsidRPr="003C0C9C" w14:paraId="6F48CEEE" w14:textId="77777777" w:rsidTr="009F737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B327" w14:textId="77777777" w:rsidR="0090433E" w:rsidRPr="003C0C9C" w:rsidRDefault="0090433E" w:rsidP="009F737C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0B8" w14:textId="77777777" w:rsidR="0090433E" w:rsidRPr="003C0C9C" w:rsidRDefault="0090433E" w:rsidP="009F737C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LOZINKA</w:t>
            </w:r>
            <w:r>
              <w:rPr>
                <w:rFonts w:cstheme="minorHAnsi"/>
                <w:bCs/>
                <w:sz w:val="20"/>
                <w:szCs w:val="20"/>
              </w:rPr>
              <w:t>*</w:t>
            </w:r>
            <w:r w:rsidRPr="003C0C9C">
              <w:rPr>
                <w:rFonts w:cstheme="minorHAnsi"/>
                <w:bCs/>
                <w:sz w:val="20"/>
                <w:szCs w:val="20"/>
              </w:rPr>
              <w:t xml:space="preserve"> KANDIDATA </w:t>
            </w:r>
          </w:p>
        </w:tc>
      </w:tr>
      <w:tr w:rsidR="0090433E" w:rsidRPr="003C0C9C" w14:paraId="2DB0591A" w14:textId="77777777" w:rsidTr="009F737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635D" w14:textId="77777777" w:rsidR="0090433E" w:rsidRPr="003C0C9C" w:rsidRDefault="0090433E" w:rsidP="009F737C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DE00" w14:textId="77777777" w:rsidR="0090433E" w:rsidRPr="003C0C9C" w:rsidRDefault="0090433E" w:rsidP="0090433E">
            <w:pPr>
              <w:spacing w:line="254" w:lineRule="auto"/>
              <w:ind w:left="142" w:firstLine="1169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TP13368</w:t>
            </w:r>
          </w:p>
        </w:tc>
      </w:tr>
      <w:tr w:rsidR="0090433E" w:rsidRPr="003C0C9C" w14:paraId="6B093244" w14:textId="77777777" w:rsidTr="009F737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0FA4" w14:textId="77777777" w:rsidR="0090433E" w:rsidRPr="003C0C9C" w:rsidRDefault="0090433E" w:rsidP="009F737C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E536" w14:textId="77777777" w:rsidR="0090433E" w:rsidRPr="003C0C9C" w:rsidRDefault="0090433E" w:rsidP="0090433E">
            <w:pPr>
              <w:spacing w:line="254" w:lineRule="auto"/>
              <w:ind w:left="142" w:firstLine="1169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VP13364</w:t>
            </w:r>
          </w:p>
        </w:tc>
      </w:tr>
      <w:tr w:rsidR="0090433E" w:rsidRPr="003C0C9C" w14:paraId="2A9E4A8B" w14:textId="77777777" w:rsidTr="009F737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38E3" w14:textId="77777777" w:rsidR="0090433E" w:rsidRPr="003C0C9C" w:rsidRDefault="0090433E" w:rsidP="009F737C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42BF" w14:textId="77777777" w:rsidR="0090433E" w:rsidRDefault="0090433E" w:rsidP="0090433E">
            <w:pPr>
              <w:spacing w:line="254" w:lineRule="auto"/>
              <w:ind w:left="142" w:firstLine="1169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IV37491</w:t>
            </w:r>
          </w:p>
        </w:tc>
      </w:tr>
      <w:tr w:rsidR="0090433E" w:rsidRPr="003C0C9C" w14:paraId="28F3E9C8" w14:textId="77777777" w:rsidTr="009F737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FF8" w14:textId="77777777" w:rsidR="0090433E" w:rsidRDefault="0090433E" w:rsidP="009F737C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4848" w14:textId="77777777" w:rsidR="0090433E" w:rsidRDefault="0090433E" w:rsidP="0090433E">
            <w:pPr>
              <w:spacing w:line="254" w:lineRule="auto"/>
              <w:ind w:left="142" w:firstLine="1169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MU13465</w:t>
            </w:r>
          </w:p>
        </w:tc>
      </w:tr>
    </w:tbl>
    <w:p w14:paraId="305C6404" w14:textId="77777777" w:rsidR="0090433E" w:rsidRDefault="0090433E" w:rsidP="0090433E">
      <w:pPr>
        <w:tabs>
          <w:tab w:val="num" w:pos="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</w:t>
      </w:r>
      <w:r w:rsidRPr="006967CA">
        <w:rPr>
          <w:rFonts w:cstheme="minorHAnsi"/>
          <w:sz w:val="20"/>
          <w:szCs w:val="20"/>
        </w:rPr>
        <w:t>*</w:t>
      </w:r>
      <w:r w:rsidRPr="006967CA">
        <w:rPr>
          <w:rFonts w:cstheme="minorHAnsi"/>
          <w:i/>
          <w:iCs/>
          <w:sz w:val="16"/>
          <w:szCs w:val="16"/>
        </w:rPr>
        <w:t>Lozinka je određena sukladno točki VIII. natječaja</w:t>
      </w:r>
      <w:r w:rsidRPr="006967CA">
        <w:rPr>
          <w:rFonts w:cstheme="minorHAnsi"/>
          <w:sz w:val="20"/>
          <w:szCs w:val="20"/>
        </w:rPr>
        <w:t>.</w:t>
      </w:r>
    </w:p>
    <w:p w14:paraId="6375B66E" w14:textId="77777777" w:rsidR="0090433E" w:rsidRPr="003C0C9C" w:rsidRDefault="0090433E" w:rsidP="0090433E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</w:p>
    <w:p w14:paraId="35E49704" w14:textId="77777777" w:rsidR="0090433E" w:rsidRPr="0055082E" w:rsidRDefault="0090433E" w:rsidP="0090433E">
      <w:pPr>
        <w:tabs>
          <w:tab w:val="num" w:pos="0"/>
        </w:tabs>
        <w:jc w:val="both"/>
        <w:rPr>
          <w:rFonts w:cstheme="minorHAnsi"/>
          <w:b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>Povjerenstvo poziva kandidat</w:t>
      </w:r>
      <w:r>
        <w:rPr>
          <w:rFonts w:cstheme="minorHAnsi"/>
          <w:bCs/>
          <w:sz w:val="20"/>
          <w:szCs w:val="20"/>
        </w:rPr>
        <w:t xml:space="preserve">e </w:t>
      </w:r>
      <w:r w:rsidRPr="003C0C9C">
        <w:rPr>
          <w:rFonts w:cstheme="minorHAnsi"/>
          <w:bCs/>
          <w:sz w:val="20"/>
          <w:szCs w:val="20"/>
        </w:rPr>
        <w:t xml:space="preserve">s gornje liste na prethodnu provjeru znanja putem pisanog testiranja koje će se održati u </w:t>
      </w:r>
      <w:r w:rsidRPr="00DA1D48">
        <w:rPr>
          <w:rFonts w:cstheme="minorHAnsi"/>
          <w:b/>
          <w:sz w:val="20"/>
          <w:szCs w:val="20"/>
          <w:u w:val="single"/>
        </w:rPr>
        <w:t xml:space="preserve">petak, </w:t>
      </w:r>
      <w:r>
        <w:rPr>
          <w:rFonts w:cstheme="minorHAnsi"/>
          <w:b/>
          <w:sz w:val="20"/>
          <w:szCs w:val="20"/>
          <w:u w:val="single"/>
        </w:rPr>
        <w:t xml:space="preserve">19. travnja </w:t>
      </w:r>
      <w:r w:rsidRPr="00DA1D48">
        <w:rPr>
          <w:rFonts w:cstheme="minorHAnsi"/>
          <w:b/>
          <w:sz w:val="20"/>
          <w:szCs w:val="20"/>
          <w:u w:val="single"/>
        </w:rPr>
        <w:t>202</w:t>
      </w:r>
      <w:r>
        <w:rPr>
          <w:rFonts w:cstheme="minorHAnsi"/>
          <w:b/>
          <w:sz w:val="20"/>
          <w:szCs w:val="20"/>
          <w:u w:val="single"/>
        </w:rPr>
        <w:t xml:space="preserve">4. </w:t>
      </w:r>
      <w:r w:rsidRPr="00DA1D48">
        <w:rPr>
          <w:rFonts w:cstheme="minorHAnsi"/>
          <w:b/>
          <w:sz w:val="20"/>
          <w:szCs w:val="20"/>
          <w:u w:val="single"/>
        </w:rPr>
        <w:t>godine, s početkom u 9,00 sati</w:t>
      </w:r>
      <w:r>
        <w:rPr>
          <w:rFonts w:cstheme="minorHAnsi"/>
          <w:b/>
          <w:sz w:val="20"/>
          <w:szCs w:val="20"/>
          <w:u w:val="single"/>
        </w:rPr>
        <w:t>,</w:t>
      </w:r>
      <w:r w:rsidRPr="0055082E">
        <w:rPr>
          <w:rFonts w:cstheme="minorHAnsi"/>
          <w:b/>
          <w:sz w:val="20"/>
          <w:szCs w:val="20"/>
          <w:u w:val="single"/>
        </w:rPr>
        <w:t xml:space="preserve"> u Gradskoj vijećnici, Trg Sv. Trojstva 1, 34000 Požega.</w:t>
      </w:r>
      <w:r w:rsidRPr="0055082E">
        <w:rPr>
          <w:rFonts w:cstheme="minorHAnsi"/>
          <w:b/>
          <w:sz w:val="20"/>
          <w:szCs w:val="20"/>
        </w:rPr>
        <w:t xml:space="preserve">  </w:t>
      </w:r>
    </w:p>
    <w:p w14:paraId="1D82545D" w14:textId="77777777" w:rsidR="0090433E" w:rsidRPr="003C0C9C" w:rsidRDefault="0090433E" w:rsidP="0090433E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2BEB3A72" w14:textId="77777777" w:rsidR="0090433E" w:rsidRPr="003C0C9C" w:rsidRDefault="0090433E" w:rsidP="0090433E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>III.  Podnositeljima prijava koji ne ispunjavaju formalne uvjete iz natječaja dostavljena je pisana obavijest u kojoj su navedeni razlozi zbog kojih se ne smatraju kandidatom prijavljenim na natječaj.</w:t>
      </w:r>
    </w:p>
    <w:p w14:paraId="7A2DE5E7" w14:textId="77777777" w:rsidR="0090433E" w:rsidRDefault="0090433E" w:rsidP="0090433E">
      <w:pPr>
        <w:jc w:val="both"/>
        <w:rPr>
          <w:rFonts w:cstheme="minorHAnsi"/>
          <w:bCs/>
          <w:sz w:val="20"/>
          <w:szCs w:val="20"/>
        </w:rPr>
      </w:pPr>
    </w:p>
    <w:p w14:paraId="7AB9FB36" w14:textId="77777777" w:rsidR="00A565F0" w:rsidRPr="003C0C9C" w:rsidRDefault="00A565F0" w:rsidP="0090433E">
      <w:pPr>
        <w:jc w:val="both"/>
        <w:rPr>
          <w:rFonts w:cstheme="minorHAnsi"/>
          <w:bCs/>
          <w:sz w:val="20"/>
          <w:szCs w:val="20"/>
        </w:rPr>
      </w:pPr>
    </w:p>
    <w:p w14:paraId="4DD9BB7D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lastRenderedPageBreak/>
        <w:t>IV.  PRAVILA TESTIRANJA</w:t>
      </w:r>
    </w:p>
    <w:p w14:paraId="34FA8BE5" w14:textId="77777777" w:rsidR="0090433E" w:rsidRPr="00D575EA" w:rsidRDefault="0090433E" w:rsidP="0090433E">
      <w:pPr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ab/>
        <w:t xml:space="preserve">Ako kandidat ne pristupi testiranju smatra se da je povukao prijavu na natječaj. </w:t>
      </w:r>
    </w:p>
    <w:p w14:paraId="0AD58FBC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Kandidati su na testiranje dužni ponijeti kemijsku olovku, te predočiti osobnu iskaznicu ili putovnicu, radi utvrđivanja identiteta. Kandidati koji ne mogu dokazati identitet ne mogu pristupiti testiranju.</w:t>
      </w:r>
    </w:p>
    <w:p w14:paraId="3DF7D3F9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Nakon utvrđivanja identiteta kandidata, započinje se sa pisanjem testa.</w:t>
      </w:r>
    </w:p>
    <w:p w14:paraId="678BC588" w14:textId="1D68A697" w:rsidR="0090433E" w:rsidRPr="00D575EA" w:rsidRDefault="0090433E" w:rsidP="0090433E">
      <w:pPr>
        <w:suppressAutoHyphens/>
        <w:autoSpaceDN w:val="0"/>
        <w:ind w:firstLine="708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 xml:space="preserve">Kandidatima će biti podijeljena pitanja za testiranje iz </w:t>
      </w:r>
      <w:r w:rsidRPr="00D575EA">
        <w:rPr>
          <w:rFonts w:ascii="Calibri" w:hAnsi="Calibri" w:cs="Calibri"/>
          <w:sz w:val="20"/>
          <w:szCs w:val="20"/>
        </w:rPr>
        <w:t>Zakona o lokalnoj i područnoj (regionalnoj) samoupravi (Narodne novine, broj:</w:t>
      </w:r>
      <w:r w:rsidRPr="00D575EA">
        <w:rPr>
          <w:rFonts w:ascii="Calibri" w:hAnsi="Calibri" w:cs="Calibri"/>
          <w:b/>
          <w:sz w:val="20"/>
          <w:szCs w:val="20"/>
        </w:rPr>
        <w:t xml:space="preserve"> </w:t>
      </w:r>
      <w:r w:rsidRPr="00D575EA">
        <w:rPr>
          <w:rFonts w:ascii="Calibri" w:hAnsi="Calibri" w:cs="Calibri"/>
          <w:bCs/>
          <w:sz w:val="20"/>
          <w:szCs w:val="20"/>
        </w:rPr>
        <w:t>33/01., 60/01.- vjerodostojno tumačenje, 129/05., 109/07., 125/08., 36/09., 150/11., 144/12., 19/13.- pročišćeni tekst, 137/15.- ispravak, 123/17., 98/19. i 144/20.), S</w:t>
      </w:r>
      <w:r w:rsidRPr="00D575EA">
        <w:rPr>
          <w:rFonts w:ascii="Calibri" w:eastAsia="Arial Unicode MS" w:hAnsi="Calibri" w:cs="Calibri"/>
          <w:bCs/>
          <w:sz w:val="20"/>
          <w:szCs w:val="20"/>
        </w:rPr>
        <w:t>tatuta Grada Požege (S</w:t>
      </w:r>
      <w:r w:rsidRPr="00D575EA">
        <w:rPr>
          <w:rFonts w:ascii="Calibri" w:hAnsi="Calibri" w:cs="Calibri"/>
          <w:sz w:val="20"/>
          <w:szCs w:val="20"/>
        </w:rPr>
        <w:t>lužbene novine Grada Požege, broj: 2/21. i 11/22.</w:t>
      </w:r>
      <w:r w:rsidRPr="00D575EA">
        <w:rPr>
          <w:rFonts w:ascii="Calibri" w:eastAsia="Arial Unicode MS" w:hAnsi="Calibri" w:cs="Calibri"/>
          <w:bCs/>
          <w:sz w:val="20"/>
          <w:szCs w:val="20"/>
        </w:rPr>
        <w:t xml:space="preserve">), </w:t>
      </w:r>
      <w:r w:rsidRPr="00D575EA">
        <w:rPr>
          <w:rFonts w:ascii="Calibri" w:hAnsi="Calibri" w:cs="Calibri"/>
          <w:sz w:val="20"/>
          <w:szCs w:val="20"/>
        </w:rPr>
        <w:t>Zakona o regionalnom razvoju (Narodne novine, broj: 147/14., 123/17. i 118/18.), Program</w:t>
      </w:r>
      <w:r w:rsidR="00D575EA">
        <w:rPr>
          <w:rFonts w:ascii="Calibri" w:hAnsi="Calibri" w:cs="Calibri"/>
          <w:sz w:val="20"/>
          <w:szCs w:val="20"/>
        </w:rPr>
        <w:t>a</w:t>
      </w:r>
      <w:r w:rsidRPr="00D575EA">
        <w:rPr>
          <w:rFonts w:ascii="Calibri" w:hAnsi="Calibri" w:cs="Calibri"/>
          <w:sz w:val="20"/>
          <w:szCs w:val="20"/>
        </w:rPr>
        <w:t xml:space="preserve"> Republike Hrvatske 2021.- 2027., na linku: </w:t>
      </w:r>
      <w:hyperlink w:history="1">
        <w:r w:rsidR="00D575EA" w:rsidRPr="00AB13E8">
          <w:rPr>
            <w:rStyle w:val="Hiperveza"/>
            <w:rFonts w:ascii="Calibri" w:hAnsi="Calibri" w:cs="Calibri"/>
            <w:sz w:val="20"/>
            <w:szCs w:val="20"/>
          </w:rPr>
          <w:t>https:// strukturnifondovi.hr/eu-fondovi/eu-fondovi-2021-2027/</w:t>
        </w:r>
      </w:hyperlink>
      <w:r w:rsidRPr="00D575EA">
        <w:rPr>
          <w:rStyle w:val="Hiperveza"/>
          <w:rFonts w:ascii="Calibri" w:hAnsi="Calibri" w:cs="Calibri"/>
          <w:sz w:val="20"/>
          <w:szCs w:val="20"/>
          <w:u w:val="none"/>
        </w:rPr>
        <w:t xml:space="preserve">, </w:t>
      </w:r>
      <w:r w:rsidRPr="00D575EA">
        <w:rPr>
          <w:rFonts w:ascii="Calibri" w:hAnsi="Calibri" w:cs="Calibri"/>
          <w:sz w:val="20"/>
          <w:szCs w:val="20"/>
        </w:rPr>
        <w:t xml:space="preserve">Zakona o institucionalnom okviru za korištenje fondova Europske unije u Republici Hrvatskoj (Narodne novine, broj: 116/21.), Uredba o tijelima u sustavu upravljanja i kontrole za provedbu programa iz područja teritorijalnih ulaganja i pravedne tranzicije za financijsko razdoblja 2021- 2027. (Narodne novine, broj: 96/22.), na linku: </w:t>
      </w:r>
      <w:hyperlink r:id="rId9" w:history="1">
        <w:r w:rsidRPr="00D575EA">
          <w:rPr>
            <w:rStyle w:val="Hiperveza"/>
            <w:rFonts w:ascii="Calibri" w:hAnsi="Calibri" w:cs="Calibri"/>
            <w:sz w:val="20"/>
            <w:szCs w:val="20"/>
          </w:rPr>
          <w:t>https://narodne-novine.nn.hr/clanci/sluzbeni/2022_08_96_1427.html</w:t>
        </w:r>
      </w:hyperlink>
      <w:r w:rsidRPr="00D575EA">
        <w:rPr>
          <w:rStyle w:val="Hiperveza"/>
          <w:rFonts w:ascii="Calibri" w:hAnsi="Calibri" w:cs="Calibri"/>
          <w:sz w:val="20"/>
          <w:szCs w:val="20"/>
        </w:rPr>
        <w:t xml:space="preserve">, </w:t>
      </w:r>
      <w:r w:rsidRPr="00D575EA">
        <w:rPr>
          <w:rFonts w:ascii="Calibri" w:hAnsi="Calibri" w:cs="Calibri"/>
          <w:sz w:val="20"/>
          <w:szCs w:val="20"/>
        </w:rPr>
        <w:t xml:space="preserve">Smjernice za uspostavu urbanih područja i izradu strategija razvoja urbanih područja za financijsko razdoblje 2021.-2027. (verzija 2.1), na linku: </w:t>
      </w:r>
      <w:hyperlink r:id="rId10" w:history="1">
        <w:r w:rsidR="000E178E" w:rsidRPr="00AB13E8">
          <w:rPr>
            <w:rStyle w:val="Hiperveza"/>
            <w:rFonts w:ascii="Calibri" w:hAnsi="Calibri" w:cs="Calibri"/>
            <w:sz w:val="20"/>
            <w:szCs w:val="20"/>
          </w:rPr>
          <w:t>https://razvoj.gov.hr/UserDocsImages//O%20ministarstvu/ Regionalni %20razvoj//Smjernice%20v 2.1210_ 2023.pdf</w:t>
        </w:r>
      </w:hyperlink>
      <w:r w:rsidRPr="00D575EA">
        <w:rPr>
          <w:rFonts w:ascii="Calibri" w:hAnsi="Calibri" w:cs="Calibri"/>
          <w:sz w:val="20"/>
          <w:szCs w:val="20"/>
        </w:rPr>
        <w:t xml:space="preserve">. </w:t>
      </w:r>
      <w:r w:rsidRPr="00D575EA">
        <w:rPr>
          <w:rFonts w:ascii="Calibri" w:eastAsia="Arial Unicode MS" w:hAnsi="Calibri" w:cs="Calibri"/>
          <w:bCs/>
          <w:sz w:val="20"/>
          <w:szCs w:val="20"/>
        </w:rPr>
        <w:t>S</w:t>
      </w:r>
      <w:r w:rsidRPr="00D575EA">
        <w:rPr>
          <w:rFonts w:ascii="Calibri" w:hAnsi="Calibri" w:cs="Calibri"/>
          <w:bCs/>
          <w:sz w:val="20"/>
          <w:szCs w:val="20"/>
        </w:rPr>
        <w:t>vaki točan odgovor nosi 1 bod po pitanju, odnosno sveukupno 10 bodova.</w:t>
      </w:r>
    </w:p>
    <w:p w14:paraId="7825D695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Na testiranju nije dozvoljeno koristiti se literaturom i zabilješkama, napuštati prostoriju, razgovarati s ostalim kandidatima niti na bilo koji drugi način remetiti koncentraciju kandidata, a mobitel je potrebno isključiti.</w:t>
      </w:r>
    </w:p>
    <w:p w14:paraId="5EA60CB6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Testiranje traje maksimalno 45 minuta.</w:t>
      </w:r>
    </w:p>
    <w:p w14:paraId="23428241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Intervju se provodi s kandidatima koji su ostvarili najmanje 50% bodova iz provjere znanja na provedenom testiranju. Rezultati intervjua boduju se od 1 do 10 bodova.</w:t>
      </w:r>
    </w:p>
    <w:p w14:paraId="498BACD0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Povjerenstvo kroz intervju s kandidatima, u pravilu, provjerava znanje vezano uz radno mjesto na koje su se prijavili te utvrđuje snalažljivost, komunikativnost, kreativnost, profesionalne ciljeve i motivaciju za rad u Gradu Požegi.</w:t>
      </w:r>
    </w:p>
    <w:p w14:paraId="0E71800E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Nakon provedenog postupka, Povjerenstvo sastavlja izvješće o provedenom postupku i utvrđuje rang-listu kandidata prema ukupnom broju ostvarenih bodova na pisanom testiranju i intervjuu.</w:t>
      </w:r>
    </w:p>
    <w:p w14:paraId="334A606B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Povjerenstvo dostavlja pročelniku Upravnog odjela za imovonsko-pravne poslove Grada Požege (u nastavku teksta: pročelnik Upravnog odjela) izvješće o provedenom postupku koje potpisuju svi članovi Povjerenstva.</w:t>
      </w:r>
    </w:p>
    <w:p w14:paraId="4761BFB6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Pročelnik Upravnog odjela donosi rješenje o prijmu u službu koje dostavlja svim kandidatima prijavljenim na natječaj.</w:t>
      </w:r>
    </w:p>
    <w:p w14:paraId="0C0496F7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 xml:space="preserve">Izabrani kandidat mora dostaviti uvjerenje o zdravstvenoj sposobnosti prije donošenja rješenja o prijmu u službu. </w:t>
      </w:r>
    </w:p>
    <w:p w14:paraId="27204026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Protiv rješenja o prijmu u službu dopuštena je žalba koja se podnosi Gradonačelniku Grada Požege, u roku petnaest dana od dana dostave rješenja o prijmu u službu.</w:t>
      </w:r>
    </w:p>
    <w:p w14:paraId="1B49B10C" w14:textId="77777777" w:rsidR="0090433E" w:rsidRPr="00D575EA" w:rsidRDefault="0090433E" w:rsidP="0090433E">
      <w:pPr>
        <w:jc w:val="both"/>
        <w:rPr>
          <w:rFonts w:ascii="Calibri" w:hAnsi="Calibri" w:cs="Calibri"/>
          <w:bCs/>
          <w:sz w:val="20"/>
          <w:szCs w:val="20"/>
        </w:rPr>
      </w:pPr>
    </w:p>
    <w:p w14:paraId="7519D885" w14:textId="77777777" w:rsidR="0090433E" w:rsidRPr="00D575EA" w:rsidRDefault="0090433E" w:rsidP="0090433E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V. Ova lista kandidata i poziv objavljuje se na službenoj internetskoj stranici Grada Požege (</w:t>
      </w:r>
      <w:hyperlink r:id="rId11" w:history="1">
        <w:r w:rsidRPr="00D575EA">
          <w:rPr>
            <w:rStyle w:val="Hiperveza"/>
            <w:rFonts w:ascii="Calibri" w:hAnsi="Calibri" w:cs="Calibri"/>
            <w:bCs/>
            <w:color w:val="auto"/>
            <w:sz w:val="20"/>
            <w:szCs w:val="20"/>
            <w:u w:val="none"/>
          </w:rPr>
          <w:t>www.pozega.hr</w:t>
        </w:r>
      </w:hyperlink>
      <w:r w:rsidRPr="00D575EA">
        <w:rPr>
          <w:rFonts w:ascii="Calibri" w:hAnsi="Calibri" w:cs="Calibri"/>
          <w:bCs/>
          <w:sz w:val="20"/>
          <w:szCs w:val="20"/>
        </w:rPr>
        <w:t>) i na oglasnoj ploči Grada Požege.</w:t>
      </w:r>
    </w:p>
    <w:p w14:paraId="7B946B3C" w14:textId="77777777" w:rsidR="0090433E" w:rsidRPr="00D575EA" w:rsidRDefault="0090433E" w:rsidP="0090433E">
      <w:pPr>
        <w:jc w:val="both"/>
        <w:rPr>
          <w:rFonts w:ascii="Calibri" w:hAnsi="Calibri" w:cs="Calibri"/>
          <w:bCs/>
          <w:sz w:val="20"/>
          <w:szCs w:val="20"/>
        </w:rPr>
      </w:pPr>
    </w:p>
    <w:p w14:paraId="07E2E5FF" w14:textId="77777777" w:rsidR="0090433E" w:rsidRPr="00D575EA" w:rsidRDefault="0090433E" w:rsidP="0090433E">
      <w:pPr>
        <w:ind w:left="142" w:hanging="142"/>
        <w:jc w:val="both"/>
        <w:rPr>
          <w:rFonts w:ascii="Calibri" w:hAnsi="Calibri" w:cs="Calibri"/>
          <w:bCs/>
          <w:sz w:val="20"/>
          <w:szCs w:val="20"/>
        </w:rPr>
      </w:pPr>
    </w:p>
    <w:p w14:paraId="269E0B3B" w14:textId="77777777" w:rsidR="0090433E" w:rsidRPr="00D575EA" w:rsidRDefault="0090433E" w:rsidP="0090433E">
      <w:pPr>
        <w:ind w:left="142" w:firstLine="5245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PREDSJEDNICA POVJERENSTVA:</w:t>
      </w:r>
    </w:p>
    <w:p w14:paraId="182194A0" w14:textId="43AD35DB" w:rsidR="0090433E" w:rsidRPr="00D575EA" w:rsidRDefault="0090433E" w:rsidP="0090433E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Jelena Vidović, dipl.oec.</w:t>
      </w:r>
      <w:r w:rsidR="004911C0">
        <w:rPr>
          <w:rFonts w:ascii="Calibri" w:hAnsi="Calibri" w:cs="Calibri"/>
          <w:bCs/>
          <w:sz w:val="20"/>
          <w:szCs w:val="20"/>
        </w:rPr>
        <w:t>, v.r.</w:t>
      </w:r>
      <w:r w:rsidRPr="00D575EA">
        <w:rPr>
          <w:rFonts w:ascii="Calibri" w:hAnsi="Calibri" w:cs="Calibri"/>
          <w:bCs/>
          <w:sz w:val="20"/>
          <w:szCs w:val="20"/>
        </w:rPr>
        <w:t xml:space="preserve">  </w:t>
      </w:r>
    </w:p>
    <w:p w14:paraId="5B4F8ED2" w14:textId="77777777" w:rsidR="0090433E" w:rsidRPr="00D575EA" w:rsidRDefault="0090433E" w:rsidP="0090433E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</w:p>
    <w:p w14:paraId="1627002F" w14:textId="77777777" w:rsidR="0090433E" w:rsidRPr="00D575EA" w:rsidRDefault="0090433E" w:rsidP="0090433E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 xml:space="preserve">ČLANOVI POVJERENSTVA:  </w:t>
      </w:r>
    </w:p>
    <w:p w14:paraId="713EC225" w14:textId="5647B791" w:rsidR="0090433E" w:rsidRPr="00D575EA" w:rsidRDefault="0090433E" w:rsidP="0090433E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Ljiljana Bilen, dipl.iur.</w:t>
      </w:r>
      <w:r w:rsidR="004911C0">
        <w:rPr>
          <w:rFonts w:ascii="Calibri" w:hAnsi="Calibri" w:cs="Calibri"/>
          <w:bCs/>
          <w:sz w:val="20"/>
          <w:szCs w:val="20"/>
        </w:rPr>
        <w:t>, v.r.</w:t>
      </w:r>
      <w:r w:rsidRPr="00D575EA">
        <w:rPr>
          <w:rFonts w:ascii="Calibri" w:hAnsi="Calibri" w:cs="Calibri"/>
          <w:bCs/>
          <w:sz w:val="20"/>
          <w:szCs w:val="20"/>
        </w:rPr>
        <w:t xml:space="preserve"> </w:t>
      </w:r>
    </w:p>
    <w:p w14:paraId="0FAAF2B1" w14:textId="2D61AA9C" w:rsidR="0090433E" w:rsidRPr="00D575EA" w:rsidRDefault="0090433E" w:rsidP="0090433E">
      <w:pPr>
        <w:spacing w:line="276" w:lineRule="auto"/>
        <w:ind w:left="142" w:firstLine="5245"/>
        <w:contextualSpacing/>
        <w:rPr>
          <w:rFonts w:ascii="Calibri" w:hAnsi="Calibri" w:cs="Calibri"/>
          <w:bCs/>
          <w:sz w:val="20"/>
          <w:szCs w:val="20"/>
        </w:rPr>
      </w:pPr>
      <w:r w:rsidRPr="00D575EA">
        <w:rPr>
          <w:rFonts w:ascii="Calibri" w:hAnsi="Calibri" w:cs="Calibri"/>
          <w:bCs/>
          <w:sz w:val="20"/>
          <w:szCs w:val="20"/>
        </w:rPr>
        <w:t>Oleg Radovanlija, mag.ing.aedif.</w:t>
      </w:r>
      <w:r w:rsidR="004911C0">
        <w:rPr>
          <w:rFonts w:ascii="Calibri" w:hAnsi="Calibri" w:cs="Calibri"/>
          <w:bCs/>
          <w:sz w:val="20"/>
          <w:szCs w:val="20"/>
        </w:rPr>
        <w:t>, v.r.</w:t>
      </w:r>
      <w:r w:rsidRPr="00D575EA">
        <w:rPr>
          <w:rFonts w:ascii="Calibri" w:hAnsi="Calibri" w:cs="Calibri"/>
          <w:bCs/>
          <w:sz w:val="20"/>
          <w:szCs w:val="20"/>
        </w:rPr>
        <w:t xml:space="preserve">   </w:t>
      </w:r>
    </w:p>
    <w:p w14:paraId="72B08067" w14:textId="2C2D1D7C" w:rsidR="00475DAD" w:rsidRDefault="00475DAD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sectPr w:rsidR="00475DAD" w:rsidSect="00A561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9A6D" w14:textId="77777777" w:rsidR="00A561D4" w:rsidRDefault="00A561D4" w:rsidP="0090433E">
      <w:r>
        <w:separator/>
      </w:r>
    </w:p>
  </w:endnote>
  <w:endnote w:type="continuationSeparator" w:id="0">
    <w:p w14:paraId="77BBAD07" w14:textId="77777777" w:rsidR="00A561D4" w:rsidRDefault="00A561D4" w:rsidP="0090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63C4" w14:textId="77777777" w:rsidR="0090433E" w:rsidRDefault="0090433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23493"/>
      <w:docPartObj>
        <w:docPartGallery w:val="Page Numbers (Bottom of Page)"/>
        <w:docPartUnique/>
      </w:docPartObj>
    </w:sdtPr>
    <w:sdtContent>
      <w:p w14:paraId="7C344407" w14:textId="70156C61" w:rsidR="0090433E" w:rsidRDefault="0090433E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A71A5E" wp14:editId="19DB0CC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8559109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8261650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AB72D9" w14:textId="77777777" w:rsidR="0090433E" w:rsidRDefault="0090433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265277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4088058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75468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A71A5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Y8pEgkAMAAJU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" filled="f" stroked="f">
                    <v:textbox inset="0,0,0,0">
                      <w:txbxContent>
                        <w:p w14:paraId="4CAB72D9" w14:textId="77777777" w:rsidR="0090433E" w:rsidRDefault="0090433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1320" w14:textId="77777777" w:rsidR="0090433E" w:rsidRDefault="009043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DB21" w14:textId="77777777" w:rsidR="00A561D4" w:rsidRDefault="00A561D4" w:rsidP="0090433E">
      <w:r>
        <w:separator/>
      </w:r>
    </w:p>
  </w:footnote>
  <w:footnote w:type="continuationSeparator" w:id="0">
    <w:p w14:paraId="1D8EB790" w14:textId="77777777" w:rsidR="00A561D4" w:rsidRDefault="00A561D4" w:rsidP="0090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0FF88" w14:textId="77777777" w:rsidR="0090433E" w:rsidRDefault="0090433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68E9" w14:textId="77777777" w:rsidR="0090433E" w:rsidRDefault="0090433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9DDC" w14:textId="77777777" w:rsidR="0090433E" w:rsidRDefault="009043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D"/>
    <w:rsid w:val="000E178E"/>
    <w:rsid w:val="001321E1"/>
    <w:rsid w:val="00344E3E"/>
    <w:rsid w:val="00475DAD"/>
    <w:rsid w:val="004911C0"/>
    <w:rsid w:val="0090433E"/>
    <w:rsid w:val="009A76F3"/>
    <w:rsid w:val="00A561D4"/>
    <w:rsid w:val="00A565F0"/>
    <w:rsid w:val="00C766D1"/>
    <w:rsid w:val="00D1193D"/>
    <w:rsid w:val="00D575EA"/>
    <w:rsid w:val="00F6401D"/>
    <w:rsid w:val="00FC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8B5E8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90433E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043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90433E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043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433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9043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433E"/>
    <w:rPr>
      <w:noProof/>
    </w:rPr>
  </w:style>
  <w:style w:type="character" w:styleId="Nerijeenospominjanje">
    <w:name w:val="Unresolved Mention"/>
    <w:basedOn w:val="Zadanifontodlomka"/>
    <w:uiPriority w:val="99"/>
    <w:semiHidden/>
    <w:unhideWhenUsed/>
    <w:rsid w:val="00D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zega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azvoj.gov.hr/UserDocsImages//O%20ministarstvu/%20Regionalni%20%20razvoj//Smjernice%20v%202.1210_%20202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2_08_96_142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12</cp:revision>
  <cp:lastPrinted>2014-11-26T14:09:00Z</cp:lastPrinted>
  <dcterms:created xsi:type="dcterms:W3CDTF">2022-10-07T08:08:00Z</dcterms:created>
  <dcterms:modified xsi:type="dcterms:W3CDTF">2024-04-16T09:39:00Z</dcterms:modified>
</cp:coreProperties>
</file>